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color w:val="1F4E79"/>
          <w:sz w:val="34"/>
          <w:szCs w:val="34"/>
        </w:rPr>
        <w:t xml:space="preserve">南茂（8150）券商觀點摘要</w:t>
      </w:r>
    </w:p>
    <w:p>
      <w:pPr>
        <w:spacing w:after="24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2026/07/16｜歐系外資（未具名）（外資）｜半導體－記憶體封測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2026/07/16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券商（屬性）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歐系外資（未具名）（外資）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產業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半導體－記憶體封測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未揭露（升評、上調目標價）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156 元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105 元（調升 48.6%）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當日股價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7/16 收 122.5 元（+7.46%，成交 17.9 萬張）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第二季營收 73.83 億元（年增 28.71%、季增 6.45%）符合預期；6 月營收 25.38 億元（年增 37.23%），月、季、半年營收同創歷史新高。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DDR4／DDR5 產量成長、FLASH 快閃記憶體需求增強、外包（委外封測）業務增加，2026 下半年動能保持強勁並一路延續到 2027 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SiPh 矽光子／光凸塊技術透過客戶互動與認證穩步推進，預計 2027 年開始貢獻營收，被視為下一個主要營收成長點。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新聞未揭露券商名稱與正式評等，細節待正式報告確認。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記憶體循環若反轉，封測稼動率與價格將承壓；SiPh／光凸塊認證與放量時程存在不確定性。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短線股價已強漲（7/16 逆勢大漲 7.46%），追價風險升高。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9dufjms0n-u2-pjylrr1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FTNN｜目標價105元→156元！歐系外資點讚記憶體封測廠（2026/7/16）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j7jouw5vfsy46f0sdj87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FTNN｜盤後成交量盤點：南茂獲歐系外資點名156元（2026/7/16）</w:t>
        </w:r>
      </w:hyperlink>
    </w:p>
    <w:p>
      <w:pPr>
        <w:spacing w:before="240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9dufjms0n-u2-pjylrr1" Type="http://schemas.openxmlformats.org/officeDocument/2006/relationships/hyperlink" Target="https://www.ftnn.com.tw/news/561631" TargetMode="External"/><Relationship Id="rIdsj7jouw5vfsy46f0sdj87" Type="http://schemas.openxmlformats.org/officeDocument/2006/relationships/hyperlink" Target="https://www.ftnn.com.tw/news/561656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2026-07-16T11:20:57.924Z</dcterms:created>
  <dcterms:modified xsi:type="dcterms:W3CDTF">2026-07-16T11:20:57.924Z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