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/>
        <w:jc w:val="center"/>
      </w:pPr>
      <w:r>
        <w:rPr>
          <w:rFonts w:ascii="Microsoft JhengHei" w:hAnsi="Microsoft JhengHei" w:eastAsia="Microsoft JhengHei"/>
          <w:b/>
          <w:sz w:val="34"/>
        </w:rPr>
        <w:t>南電(8046) 券商觀點摘要</w:t>
      </w:r>
    </w:p>
    <w:p>
      <w:pPr>
        <w:spacing w:after="200" w:before="0"/>
        <w:jc w:val="center"/>
      </w:pPr>
      <w:r>
        <w:rPr>
          <w:rFonts w:ascii="Microsoft JhengHei" w:hAnsi="Microsoft JhengHei" w:eastAsia="Microsoft JhengHei"/>
          <w:b w:val="0"/>
          <w:color w:val="606060"/>
          <w:sz w:val="19"/>
        </w:rPr>
        <w:t>高盛證券 ｜ 外資 ｜ 2026 年 08 月 13 日（盤後場次）</w:t>
      </w:r>
    </w:p>
    <w:p>
      <w:pPr>
        <w:spacing w:after="80" w:before="200"/>
      </w:pPr>
      <w:r>
        <w:rPr>
          <w:rFonts w:ascii="Microsoft JhengHei" w:hAnsi="Microsoft JhengHei" w:eastAsia="Microsoft JhengHei"/>
          <w:b/>
          <w:color w:val="143C64"/>
          <w:sz w:val="25"/>
        </w:rPr>
        <w:t>一、評等與目標價摘要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928"/>
            <w:shd w:val="clear" w:color="auto" w:fill="143C64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7370"/>
            <w:shd w:val="clear" w:color="auto" w:fill="143C64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內容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券商／機構</w:t>
            </w:r>
          </w:p>
        </w:tc>
        <w:tc>
          <w:tcPr>
            <w:tcW w:type="dxa" w:w="737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高盛證券（Goldman Sachs）</w:t>
            </w:r>
          </w:p>
        </w:tc>
      </w:tr>
      <w:tr>
        <w:tc>
          <w:tcPr>
            <w:tcW w:type="dxa" w:w="1928"/>
            <w:shd w:val="clear" w:color="auto" w:fill="F2F5F9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內／外資</w:t>
            </w:r>
          </w:p>
        </w:tc>
        <w:tc>
          <w:tcPr>
            <w:tcW w:type="dxa" w:w="7370"/>
            <w:shd w:val="clear" w:color="auto" w:fill="F2F5F9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外資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產業</w:t>
            </w:r>
          </w:p>
        </w:tc>
        <w:tc>
          <w:tcPr>
            <w:tcW w:type="dxa" w:w="737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ABF 載板</w:t>
            </w:r>
          </w:p>
        </w:tc>
      </w:tr>
      <w:tr>
        <w:tc>
          <w:tcPr>
            <w:tcW w:type="dxa" w:w="1928"/>
            <w:shd w:val="clear" w:color="auto" w:fill="F2F5F9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評等</w:t>
            </w:r>
          </w:p>
        </w:tc>
        <w:tc>
          <w:tcPr>
            <w:tcW w:type="dxa" w:w="7370"/>
            <w:shd w:val="clear" w:color="auto" w:fill="F2F5F9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買進（重申／列入強推清單）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目標價（新）</w:t>
            </w:r>
          </w:p>
        </w:tc>
        <w:tc>
          <w:tcPr>
            <w:tcW w:type="dxa" w:w="737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2,500 元</w:t>
            </w:r>
          </w:p>
        </w:tc>
      </w:tr>
      <w:tr>
        <w:tc>
          <w:tcPr>
            <w:tcW w:type="dxa" w:w="1928"/>
            <w:shd w:val="clear" w:color="auto" w:fill="F2F5F9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目標價（舊）</w:t>
            </w:r>
          </w:p>
        </w:tc>
        <w:tc>
          <w:tcPr>
            <w:tcW w:type="dxa" w:w="7370"/>
            <w:shd w:val="clear" w:color="auto" w:fill="F2F5F9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未載（2025/08 曾由125元升至280元）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見報日期</w:t>
            </w:r>
          </w:p>
        </w:tc>
        <w:tc>
          <w:tcPr>
            <w:tcW w:type="dxa" w:w="737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2026/08/13</w:t>
            </w:r>
          </w:p>
        </w:tc>
      </w:tr>
    </w:tbl>
    <w:p>
      <w:pPr>
        <w:spacing w:after="80" w:before="200"/>
      </w:pPr>
      <w:r>
        <w:rPr>
          <w:rFonts w:ascii="Microsoft JhengHei" w:hAnsi="Microsoft JhengHei" w:eastAsia="Microsoft JhengHei"/>
          <w:b/>
          <w:color w:val="143C64"/>
          <w:sz w:val="25"/>
        </w:rPr>
        <w:t>二、論點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/>
          <w:b w:val="0"/>
          <w:sz w:val="20"/>
        </w:rPr>
        <w:t>・高盛將南電目標價上調至 2,500 元，並列入強推清單、重申「買進」。回顧 2025 年 8 月，高盛才把南電目標價由 125 元大幅上修到 280 元，一年內看法幾乎完全翻轉。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/>
          <w:b w:val="0"/>
          <w:sz w:val="20"/>
        </w:rPr>
        <w:t>・核心邏輯是「現貨彈性」：南電現貨比重高，不像同業報價受長約綁定，在這一波 ABF 漲價循環中獲利彈性最大，漲價紅利吃得相對直接。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/>
          <w:b w:val="0"/>
          <w:sz w:val="20"/>
        </w:rPr>
        <w:t>・Q2 毛利率 24.75%，單季大增 8.9 個百分點，改善幅度優於另外兩家載板廠；高盛預估 Q3 毛利率可再進一步來到 31.3%。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/>
          <w:b w:val="0"/>
          <w:sz w:val="20"/>
        </w:rPr>
        <w:t>・同窗口花旗環球證券亦點名 ABF 載板為最偏好族群，直接看好南電與欣興，外資在 ABF 上形成一致多方。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/>
          <w:b w:val="0"/>
          <w:sz w:val="20"/>
        </w:rPr>
        <w:t>・籌碼面：8/12 南電出關即攻漲停收 1,265 元，主動統一升級50(00403A)加碼45張、主動統一台股增長(00981A)買進115張、主動群益科技創新(00992A)首度建倉300張（權重由0拉升至0.89%）。</w:t>
      </w:r>
    </w:p>
    <w:p>
      <w:pPr>
        <w:spacing w:after="80" w:before="200"/>
      </w:pPr>
      <w:r>
        <w:rPr>
          <w:rFonts w:ascii="Microsoft JhengHei" w:hAnsi="Microsoft JhengHei" w:eastAsia="Microsoft JhengHei"/>
          <w:b/>
          <w:color w:val="143C64"/>
          <w:sz w:val="25"/>
        </w:rPr>
        <w:t>三、風險與資訊落差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/>
          <w:b w:val="0"/>
          <w:sz w:val="20"/>
        </w:rPr>
        <w:t>・本則出自理財達人（籌碼小哥葛）臉書貼文轉述高盛報告，非券商報告原文；未載報告出具日期、未載目標價前值、未揭露 EPS 與本益比，2,500 元完全無法回算。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/>
          <w:b w:val="0"/>
          <w:sz w:val="20"/>
        </w:rPr>
        <w:t>・★ 與共識巨大落差：本系統 8/13 早盤剛收錄 FactSet 共識 1,500 元（現價 1,265 元，隱含空間僅約 18.6%），高盛 2,500 元較共識高 66.7%。任一方模型都有大幅修正風險。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/>
          <w:b w:val="0"/>
          <w:sz w:val="20"/>
        </w:rPr>
        <w:t>・2,500 元對照 8/12 收盤 1,265 元隱含漲幅約 97.6%（本系統回算），屬極端樂觀值，安全邊際的判斷高度依賴 ABF 漲價幅度與延續性的假設。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/>
          <w:b w:val="0"/>
          <w:sz w:val="20"/>
        </w:rPr>
        <w:t>・「現貨比重高」是雙面刃：漲價循環中彈性大，價格反轉時同樣放大跌幅，原文僅討論上檔未討論下檔。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/>
          <w:b w:val="0"/>
          <w:sz w:val="20"/>
        </w:rPr>
        <w:t>・Q3 毛利率 31.3% 為預估值非實績，未說明推導基礎；花旗同期亦自載「非 AI 需求相對疲弱」，需求結構高度偏重 AI。</w:t>
      </w:r>
    </w:p>
    <w:p>
      <w:pPr>
        <w:spacing w:after="80" w:before="200"/>
      </w:pPr>
      <w:r>
        <w:rPr>
          <w:rFonts w:ascii="Microsoft JhengHei" w:hAnsi="Microsoft JhengHei" w:eastAsia="Microsoft JhengHei"/>
          <w:b/>
          <w:color w:val="143C64"/>
          <w:sz w:val="25"/>
        </w:rPr>
        <w:t>四、來源連結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sz w:val="18"/>
        </w:rPr>
        <w:t>https://wantrich.chinatimes.com/news/20260813900123-420101</w:t>
      </w:r>
    </w:p>
    <w:p>
      <w:pPr>
        <w:spacing w:after="40" w:before="160"/>
      </w:pPr>
      <w:r>
        <w:rPr>
          <w:rFonts w:ascii="Microsoft JhengHei" w:hAnsi="Microsoft JhengHei" w:eastAsia="Microsoft JhengHei"/>
          <w:b w:val="0"/>
          <w:color w:val="707070"/>
          <w:sz w:val="17"/>
        </w:rPr>
        <w:t>本摘要依公開新聞整理，非完整報告。</w:t>
      </w:r>
    </w:p>
    <w:sectPr w:rsidR="00FC693F" w:rsidRPr="0006063C" w:rsidSect="00034616">
      <w:head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