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南電（8046）券商觀點摘要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ABF 載板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原文未載評等文字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1,500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未載（無法判斷方向）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 與本益比；現價 1,265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FactSet 外資共識目標價 1,500 元，對照該表現價 1,265 元，隱含空間約 18.6%（本系統回算），為本批 FactSet 七檔中隱含空間最小者。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花旗（外資）同窗口產業報告明確點名：「花旗持續偏好具備進一步漲價潛力與毛利率上行空間的公司，例如ABF載板、先進製程晶圓代工與封測（OSAT）供應鏈」，並直接「看好南電與欣興」，外資在 ABF 載板上形成一致多方。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母公司連動：南亞（1303）同窗口獲本土券商投顧維持買進、目標價 300 元，論述核心即為轉投資南電與南亞科雙金雞母挹注，兩者形成互相佐證的關係。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無評等文字、無前值、無 EPS、無本益比，1,500 元完全無法驗證。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隱含空間僅約 18.6%，為本批最小，安全邊際相對有限。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花旗雖看好 ABF 載板，但同時自載「雖然非AI需求相對疲弱」，需求結構高度偏重 AI。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共識為多機構平均，分歧度無從辨識。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經濟日報 8/12 20:17｜花旗產業報告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https://money.udn.com/money/story/5607/9687736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FTNN 8/12 22:15｜南亞維持買進 300 元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https://www.ftnn.com.tw/news/569463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