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南電（8046）｜大和資本證券 ★評等未載（力挺） 推測合理股價 2,460 元（升）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早盤場次｜2026/09/04 03:00 工商時報 A3 簡威瑟｜產業：半導體－IC 載板（ABF／BT）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大和資本證券（★具名）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★原文未載評等文字（「力挺」）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2,460（升；★前值原文未載，本系統 07/15 大和紀錄 2,444）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09/03 跌停收 1,080 元回算隱含 +127.8%（原文「潛在漲幅超過 1.2 倍」）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20260904700073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既有序列：大和資本 07/15 產業首選 2,444（前值 1,444）；美銀 08/24 買進 1,700；FactSet 共識 08/19 強力買進 1,280／1,550；本土法人 08/09 1,800；花旗 08/10 1,600。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09/03 事件：法說指 Q4 暫不再調漲 BT 價格、博通新加坡自產載板疑慮，南電跌停 1,080 元、載板四雄同弱；三大法人大賣載板股。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成長動能：ABF 載板朝更大尺寸、更多核心層數發展，BT 載板仍供需失衡；受惠持續漲價與昆山廠稼動率提升，Q3 營收估季增 20%，昆山廠 Q4 稼動率達 100%。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定價彈性：南電未與終端客戶簽 LTA，價格調整彈性大、漲幅可望高於同業；兩家主要業者縮減 BT 產能後 BT 單價將再加速上漲，大和維持 2027 年 BT 單價預期不變。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新業務：取得美系 ODM 客戶 AI HDI 新訂單，PCB 事業營收季增 30%，Q4 起貢獻營業利益。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財務模型：2026～2028 年 EPS 分別 18.82／62.05／114.13 元，2028 年 EPS 較 2025 年成長 37 倍。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★原文未載評等文字與前值；2,460 與本系統 07/15 大和 2,444 是否為同一序列微幅上修待確認。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博通與 TOPPAN 於新加坡建自有載板產能（500 億日圓，2027 財年啟用），市場憂台廠訂單遭分食；博通並接洽欣興、景碩供料。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公司法說指 Q4 暫不再調漲 BT 價格（原物料漲勢趨緩）；EPS 預估高度倚賴漲價延續，若 ABF／BT 報價轉弱估值修正幅度大。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https://www.ctee.com.tw/news/20260904700073-430201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https://money.udn.com/money/story/5612/9733377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https://money.udn.com/money/story/5607/9731359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