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台光電（2383） 券商觀點摘要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2026/07/20｜高盛證券（外資）｜產業：半導體－銅箔基板（CCL）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高盛證券（外資）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最新目標價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9,500 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約 6,000 元（調升幅度 58.3%）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報告／報導日期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2026/07/20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高盛「台灣銅箔基板（CCL）產業」報告指出，繼 4 月高階 CCL 第一波漲價後，AI 客戶對高品質 CCL 供應需求強烈，預期第 3 季季底將啟動第二波調價，M7 以上等級價格季增約 10%-15%。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分析師王冠詔預期，關鍵 AI／高階 CCL 廠商自第 2 季起至第 4 季毛利率季增幅可達 2 至 4 個百分點以上，且下半年擴張勢頭放大；漲價動力亦來自 HVLP4 銅箔與 Low DK 2 玻纖的潛在成本上漲，預期客戶不會反彈。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第 3 季新高階 AI 專案放量：AWS Trainium 3 的 CCL 出貨量季增 50% 以上、輝達 Vera Rubin 的 CCL 於 8 月量產、谷歌 TPU 的 CCL 於 9 月出貨。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4. </w:t>
      </w:r>
      <w:r>
        <w:rPr>
          <w:rFonts w:ascii="Microsoft JhengHei" w:eastAsia="Microsoft JhengHei" w:hAnsi="Microsoft JhengHei"/>
          <w:sz w:val="22"/>
          <w:szCs w:val="22"/>
        </w:rPr>
        <w:t xml:space="preserve">預估台光電第 3 季毛利率季增 2.4 個百分點至 36.5%，較市場共識高 3.1 個百分點，帶動第 3 季 EPS 較市場預期高出 34%。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第二波漲價幅度或時點不如預期，或客戶轉嫁能力減弱。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HVLP4 銅箔、Low DK 2 玻纖等原料成本上漲若超過轉嫁幅度，將侵蝕毛利率。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AI 伺服器需求波動與台股 AI 族群回檔的評價修正風險（本波大盤自高點已回檔約 6,000 點）。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ti16m6zqkixepuc14qq5z">
        <w:r>
          <w:rPr>
            <w:rFonts w:ascii="Microsoft JhengHei" w:eastAsia="Microsoft JhengHei" w:hAnsi="Microsoft JhengHei"/>
            <w:sz w:val="18"/>
            <w:szCs w:val="18"/>
          </w:rPr>
          <w:t xml:space="preserve">經濟日報（udn）2026/07/20 17:51：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https://udn.com/news/story/7251/9639601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i16m6zqkixepuc14qq5z" Type="http://schemas.openxmlformats.org/officeDocument/2006/relationships/hyperlink" Target="https://udn.com/news/story/7251/96396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2026-07-20T11:20:44.131Z</dcterms:created>
  <dcterms:modified xsi:type="dcterms:W3CDTF">2026-07-20T11:20:44.131Z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