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台光電（2383）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2026/07/30｜高盛證券（外資）｜產業：電子材料－銅箔基板（CCL）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高盛證券（外資）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10,200 元（法人圈最高）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9,500 元（2026/07/20），調升幅度約 7.4%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獲利預估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2026／2027／2028 年 EPS 上修至 118／250／457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2026/07/30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漲停 4,510 元（早盤攻上漲停並鎖住）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Q2 實績大勝：合併營收 472.7 億元、季增 43%、年增 110%，再創單季新高；毛利率 33.9%（季增 4.5 個百分點），稅後純益 98.7 億元（季增 84.9%、年增 183.8%），單季 EPS 27.55 元逼近三個股本，且已連續六季每季賺逾一個股本，H1 EPS 累計 42.46 元。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高盛認為 Q2 營業利益符合其樂觀預期，受惠漲價速度優於預期與產品組合改善，毛利率與營益率分別季增 4.4 與 5.4 個百分點，主因高階 AI 客戶新專案需求強勁，以及全產品線 10%～60% 的定價調漲。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Q3 展望強勁：Trainium 3、Rubin 及 TPU v8 等新一代 AI 伺服器專案放量，帶動 M8／M9 等級高階 CCL 需求；預估整體售價季增最多 10%，營收季增約 21%，毛利率由 33.9% 提升至 36.5%～36.8% 續創新高。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定價續漲：M7 及以下等級 CCL 下半年預計每季調漲 10%～40% 以上；M8 以上高階產品因 PCB 客戶願為良率付出溢價，預計自 Q3 季末起出現 10% 以上漲幅。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新成長引擎：載板用 CCL 業務將於 Q3 完成客戶認證、Q4 起對獲利產生較明顯貢獻，該新品毛利率明顯優於公司整體平均。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產業地位：Prismark 於 2026 年 7 月認定台光電 2025 年營收躍居全球 CCL 產業第一；高速材料市占率達 38.6%，HDI 市占逾七成、連 20 年全球第一。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7. 長期能見度：高盛強調台光電與台燿未來幾季至幾年開出的新產能，已被高階 AI 伺服器、低軌衛星（LEO）與高階交換器客戶預訂一空，2028 年之後高階 CCL 需求仍具高度延續性。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漲價幅度或時點若不如預期，或 PCB 客戶轉嫁能力減弱，將壓縮毛利率擴張空間。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HVLP4 銅箔與 Low DK 2 玻纖布等原料成本上漲若超過轉嫁幅度，將侵蝕獲利。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AI 伺服器專案（Rubin、TPU v8、Trainium 3）拉貨時程遞延風險。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大盤評價修正風險：7/30 加權指數收 39,933 點、盤中曾失守 4 萬點，AI 族群評價仍在去槓桿過程中。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本檔為高盛同一份「銅箔基板（CCL）產業研究報告」之台光電部分，台燿部分另存於 個股／台燿6274。前次紀錄為 2026/07/20 高盛 9,500 元（買進）。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TechNews 科技新報 2026/07/30 10:46：https://technews.tw/2026/07/30/high-end-ccl-production-capacity/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自由財經 2026/07/30 10:09：https://ec.ltn.com.tw/article/breakingnews/5522547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經濟日報：外資調升台光電、台燿目標價 上修2028年 EPS 都可達三位數：https://money.udn.com/money/story/5607/9638268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