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1F3B73"/>
          <w:sz w:val="32"/>
        </w:rPr>
        <w:t>台光電 2383　美系外資（★未具名）　買進　目標價 10,200 元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7"/>
        </w:rPr>
        <w:t>整理日期：2026/09/08（二）盤後場次　│　覆蓋窗口 09/08 08:10－19:10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7824"/>
      </w:tblGrid>
      <w:tr>
        <w:tc>
          <w:tcPr>
            <w:tcW w:type="dxa" w:w="1928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824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券商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★未具名。原文用詞「美系外資」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外資／內資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外資（美系）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產業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銅箔基板 CCL／高階 AI PCB 材料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評等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買進（維持）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目標價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10,200 元（維持）／前值 ★未載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同篇涵蓋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臻鼎-KY 4958 買進 925 元（主標的）；台燿 6274 買進 3,010 元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09/08 收盤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5,340 元，跌 155 元（-2.82%），開 5,500／高 5,550／低 5,315，成交 1,317 張（來源 鉅亨網）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上檔空間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以 10,200 元對 5,340 元回算 +91.0%（本系統回算）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發布時間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工商時報 2026/09/08 11:21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二、券商論點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・與臻鼎-KY 同屬一篇「高階 AI PCB／載板供應鏈」報告，主軸為 1.6T 及以上光模組市場 2026-2028 年 CAGR 94%（8 億→29 億美元）帶動的材料需求。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・台光電受惠 2027／2028 年新增 CCL 產能開出，以及市占率進一步提升。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・高階 AI PCB 與 ABF 載板需求前景強勁，可望帶來顯著的利潤率提升空間。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・產業背景：mSAP 已成 1.6T 光模組供應鏈關鍵瓶頸，該類產品價格年初迄今漲逾 30%，毛利率 40-45% 以上，材料端亦同步受惠。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三、風險與資訊缺口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・★券商完全未具名。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・★★本則對台光電的著墨極少——整篇報告主標的是臻鼎-KY，台光電僅以「受惠新增產能與市占提升」一句帶過。目標價 10,200 元既無 EPS、無評價倍數、無營收預估、無前值，可驗證性極低，引用時應大幅打折。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・★前值目標價與前次評等日期未載。歷史紀錄中另有野村證券 8,015 元（機構不同，不可直接比較新舊）。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・★新增 CCL 產能的實際規模、時程與市占提升幅度皆未量化。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・台光電本業高階 CCL（M8 以上）面臨南亞、台燿、聯茂等同業同步擴產，2027 年後供需是否維持緊繃，原文未討論；南亞近期獲摩根大通與麥格理雙雙看好、目標價喊到 424 元，即為直接競爭者。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・09/08 股價下跌 2.82%，與買進評等及 +91% 上檔空間背離。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四、來源</w:t>
      </w:r>
    </w:p>
    <w:p>
      <w:pPr>
        <w:spacing w:after="2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・工商時報 09/08 11:21　https://www.ctee.com.tw/news/20260908700955-430201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 w:val="0"/>
          <w:color w:val="888888"/>
          <w:sz w:val="16"/>
        </w:rPr>
        <w:t>本摘要依公開新聞整理，非完整報告。標示「★」處為原文未載或本系統回算之項目。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