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4"/>
          <w:szCs w:val="34"/>
        </w:rPr>
        <w:t xml:space="preserve">台塑（1301）券商觀點摘要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2026/07/25｜金控龍頭旗下投顧（內資，新聞未具名）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評等／目標價摘要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6800"/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投資評等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買進（初次評等）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目標價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78 元（2026 年 1.3 倍 PBR；歷史 PB 區間 0.6～4.3 倍）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前值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無（初評）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潛在漲幅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以 7/24 盤中 62.5 元推算約 25%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獲利預估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2026 年 EPS 3.4 元（虧轉盈）；2027 年 EPS 3.54 元（+4.1%）</w:t>
            </w:r>
          </w:p>
        </w:tc>
      </w:tr>
      <w:tr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近期自結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</w:rPr>
              <w:t xml:space="preserve">Q2 營收 472.54 億元（+4.1% YoY）、營益率 6.1%、EPS 1.67 元（虧轉盈、季增 225.9%）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投資論點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一、利差自谷底改善：美伊衝突推升油價突破 100 美元並威脅荷姆茲海峽通航，運費與燃料成本上升、受損石化設備待修，使供給過剩壓力暫獲舒緩，產品利差相對有撐；Q2 各產品均價較 Q1 上漲 27～64%。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二、營運體質優化：降低中國市場營收占比（2025 年 23.8%，年減 3.9 個百分點）、差別化產品占比 21.6%；高雄洲際碼頭乙烯冷凍槽、仁武 PAEK 複材、美國德州 1-己烯廠於 2026 上半年完工投產。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三、電子級化學品放量：透過轉投資擴大電子級氫氣、鹽酸、硫酸、氫氟酸、IPA 布局，台塑德山二期、台塑大金擴建 2027 年起陸續投產，2027 年新產能逐步開出。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四、Q3 展望：8 廠歲修較 Q2 多 2 廠，惟旺季備貨帶動開工率自 62% 升至約 7 成；加計台塑工業美國換股利益約 10 億元與南亞、南亞科股息，投顧估 Q3 營收 470.33 億元（+12.7% YoY）、EPS 0.87 元。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中國石化產品削價競爭；國際油價與利差波動；轉型工程與新品產銷進展不如預期。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F3864"/>
        </w:rPr>
        <w:t xml:space="preserve">來源連結</w:t>
      </w:r>
    </w:p>
    <w:p>
      <w:pPr>
        <w:spacing w:after="60"/>
      </w:pPr>
      <w:r>
        <w:rPr>
          <w:rFonts w:ascii="Microsoft JhengHei" w:cs="Microsoft JhengHei" w:eastAsia="Microsoft JhengHei" w:hAnsi="Microsoft JhengHei"/>
        </w:rPr>
        <w:t xml:space="preserve">旺得富 20260725900006：</w:t>
      </w:r>
      <w:hyperlink w:history="1" r:id="rIdt7fgtcq9z2tphelpgxjhn">
        <w:r>
          <w:rPr>
            <w:rStyle w:val="Hyperlink"/>
            <w:rFonts w:ascii="Microsoft JhengHei" w:cs="Microsoft JhengHei" w:eastAsia="Microsoft JhengHei" w:hAnsi="Microsoft JhengHei"/>
          </w:rPr>
          <w:t xml:space="preserve">https://wantrich.chinatimes.com/news/20260725900006-420101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7fgtcq9z2tphelpgxjhn" Type="http://schemas.openxmlformats.org/officeDocument/2006/relationships/hyperlink" Target="https://wantrich.chinatimes.com/news/20260725900006-420101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2026-07-25T00:16:47.747Z</dcterms:created>
  <dcterms:modified xsi:type="dcterms:W3CDTF">2026-07-25T00:16:47.747Z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