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台塑（1301）｜Factset 分析師共識　2026 年 EPS 上修至 2.53 元，目標價 70 元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12:10 發布　｜　外資圈共識　｜　塑化　｜　7/28 收 57.5 元（-6.81%）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資料來源／類別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最新調查（7 位分析師）／外資圈共識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共識調查未列評等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70 元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中位數由 2.43 元上修至 2.53 元（最高 3.77、最低 1.74、平均 2.82）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2027 年 EPS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2.31 元（最高 4.04、最低 0.46）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2028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4.06 元（僅單一估值）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年營收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1,802.32 億元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歷史對照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2025 年虧損 100.49 億元、2024 年虧損 12.32 億元；2026 年為由虧轉盈之年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由虧轉盈確立：2025 年稅後虧損 100.49 億元、2024 年虧損 12.32 億元，2026 年 EPS 共識已升至 2.53 元，與 7/25 金控龍頭旗下投顧「初評買進、2026／27 EPS 3.4／3.54 元」的方向一致。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上修動能來自 Q2 財報優於預期：台塑 Q2 EPS 1.67 元由虧轉盈，利差擴大＋轉投資挹注，帶動共識中位數自 2.43 元上修至 2.53 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2027 年共識 2.31 元反低於 2026 年，且最低估值僅 0.46 元，顯示分析師對利差能否延續至 2027 年高度分歧。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 70 元相對 7/28 收盤 57.5 元隱含約 21.7% 上漲空間；與 7/22 本土民營金控旗下投顧的 70 元一致，低於 7/25 金控龍頭旗下投顧的 78 元。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7/28 台塑四寶全倒，台塑重挫 6.81% 收 57.5 元、南亞跌停，塑化族群同步回檔。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EPS 估值離散度大（2026 年 1.74–3.77 元、2027 年 0.46–4.04 元），獲利能見度偏低。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2027 年共識低於 2026 年，隱含市場預期本波利差改善僅為循環反彈而非結構轉折。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2028 年僅單一分析師估值（4.06 元），代表性不足。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07/28｜Factset：台塑 EPS 預估上修至 2.53 元，預估目標價 70 元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https://news.cnyes.com/news/id/6548028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