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Microsoft JhengHei" w:hAnsi="Microsoft JhengHei" w:eastAsia="Microsoft JhengHei" w:cs="Microsoft JhengHei"/>
          <w:b/>
          <w:color w:val="1F3864"/>
          <w:sz w:val="34"/>
        </w:rPr>
        <w:t>台燿（6274）｜大和資本維持買進、目標價升至 2,320 元　泰國廠優先供應 AWS Trainium 3</w:t>
      </w:r>
    </w:p>
    <w:p>
      <w:pPr>
        <w:spacing w:before="0" w:after="20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2026/07/28 19:45 發布　｜　外資（日系，大和資本 Daiwa）　｜　電子材料－高階銅箔基板（CCL）　｜　7/28 跌停收 1,130 元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一、評等／目標價摘要</w:t>
      </w:r>
    </w:p>
    <w:tbl>
      <w:tblPr>
        <w:tblStyle w:val="TableGrid"/>
        <w:tblW w:type="dxa" w:w="9355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c>
          <w:tcPr>
            <w:tcW w:type="dxa" w:w="2268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08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大和資本（Daiwa，日系外資）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維持「買進」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2,320 元 ／ 前值 2,122 元（＋9.3%）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CCL 平均售價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估大幅調升約 30%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毛利率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由 Q1 的 25.1% 升至 29.5%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營業利益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上看 32.5 億元，較原估高約 13%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Q3／Q4 營收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分別季增 22%、10%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2027 年營收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估年增 87%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EPS 預估調整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2026–2028 年同步上修 12%–38%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對照共識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Factset 15 位分析師共識目標價 1,975 元、2026 年 EPS 中位數 34.62 元（7/27）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二、論點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漲價＋產品組合是本次上修主軸：Q2 CCL 平均售價估調升約 30%，帶動毛利率自 25.1% 跳升至 29.5%，營業利益上看 32.5 億元、較原估高約 13%。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產能與客戶綁定明確：泰國新廠 8 月中旬起開出產能，並優先供應 AWS Trainium 3，市占可望取得 20–30%；2027 下半年再增月產能 60 萬張，出貨量年增約 20%。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成長斜率延續：Q3、Q4 營收分別季增 22%、10%，2027 年營收估年增 87%，2026–2028 年 EPS 預估同步上修 12%–38%。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評價脈絡：大和 2,320 元高於 Factset 共識 1,975 元約 17%；7/20 高盛曾給 2,860 元，個別外資普遍高於共識中位數，顯示賣方對高階 CCL 的獲利彈性看法比買方共識更積極。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三、風險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客戶集中：高度依賴 AWS Trainium 3 等單一 AI 伺服器平台的拉貨節奏，若客戶調整專案時程，泰國新產能稼動率將受衝擊。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新廠執行風險：泰國廠 8 月中開出，初期良率與產能爬坡速度為關鍵變數。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成本轉嫁：上游玻纖布、銅箔緊缺，若原料漲勢持續，可能壓縮毛利率改善幅度。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價格與估值背離：7/28 台燿跌停收 1,130 元，較大和目標價 2,320 元折價逾 51%，市場短線並不接受賣方假設，須留意共識落後補下修風險。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資料來源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07/28｜大和資本：台燿目標價升至 2,320 元  https://www.ftnn.com.tw/news/565054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鉅亨 07/27｜Factset：台燿 EPS 上修至 34.62 元，目標價 1,975 元  https://news.cnyes.com/news/id/6547136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本摘要依公開新聞整理，非完整報告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