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台燿（6274）券商觀點摘要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2026 / 08 / 05　早盤場次　｜　資料來源：FTNN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9"/>
          <w:szCs w:val="19"/>
        </w:rPr>
        <w:t xml:space="preserve">產業分類：電子零組件－銅箔基板 CCL（高階 M8／M9）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6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評價基準／備註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本土大型投顧（內資，未具名）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買進（維持）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1,600 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未揭露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估 Q3／Q4 EPS 10.92／13.04 元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高盛（外資，7/31 已收錄）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3,010 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2,860 元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本欄為對照用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評價落差提醒：本土投顧 1,600 元與高盛 3,010 元差距近一倍，為目前追蹤名單中內外資分歧最大的個股之一，請留意兩者評價基準與預估年度可能不同。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・Q2 財報強勁：營收 143 億元（季增 42.2%、年增 110.9%），稅後純益 23.4 億元（年增 259.4%），EPS 8.02 元；毛利率季增 4.6 個百分點至 29.7%、優於預期。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・產品升級是毛利率改善主因：美系網通客戶升級至 M8／M9 高階 CCL，帶動產品組合結構性上移。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・產能規劃明確：2026～2028 年產能分別達 260、380、530 萬張，三年產能倍增。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・下半年預估：Q3 營收 163.9 億元、Q4 184.3 億元，EPS 分別為 10.92 元、13.04 元，逐季走高。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・產業背景（7/31 已收錄之高盛 CCL 報告）：今年下半年 M7 及以下等級 CCL 價格預估每季仍有 10%～40% 以上漲幅，M8 以上高階產品可望自 Q3 末起調漲逾 10%；台燿新增產能已獲高階 AI 伺服器、低軌衛星及高階交換器客戶預訂，需求可望延續至 2028 年後。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・泰國新廠仍處虧損狀態，海外擴產的短期獲利稀釋效應尚未消除。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・內外資目標價差距近一倍（1,600 元 vs 3,010 元），顯示市場對 CCL 漲價持續性與評價倍數的看法極度分歧。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・CCL 漲價的持續性取決於 AI 伺服器與高階交換器的拉貨節奏；8/4 已收錄之高盛閉門會議指出，第三代 CCL 與輝達 Rubin 平台將集中 Q3 末至 Q4 初大量拉貨，屆時零組件可能吃緊甚至影響交貨。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・券商名稱未具名、舊目標價未揭露，無法判斷本次為調升或維持。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・台燿 7/31 已因高盛調升目標價亮燈漲停至 1,110 元，股價已明顯反映部分利多。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・FTNN 8/4｜台燿（本土大型投顧 1,600 元）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https://www.ftnn.com.tw/news/567139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7/31｜高盛目標價喊破萬！台光電跳空漲停　台燿、聯茂同步亮燈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https://www.ctee.com.tw/news/20260731701002-430201</w:t>
      </w:r>
    </w:p>
    <w:p>
      <w:pPr>
        <w:spacing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2026-08-05T00:28:21.786Z</dcterms:created>
  <dcterms:modified xsi:type="dcterms:W3CDTF">2026-08-05T00:28:21.786Z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