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台燿（6274）券商觀點摘要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555555"/>
          <w:sz w:val="20"/>
        </w:rPr>
        <w:t>統一投顧（分析師廖婉婷，具名）｜2026/08/13 早盤場次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710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日期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2026/08/13（覆蓋窗口 2026/08/12 19:00 ～ 2026/08/13 08:30）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券商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統一投顧（分析師廖婉婷，具名）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內／外資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內資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產業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CCL 銅箔基板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投資評等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上調（原文未載評等文字）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目標價（新）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1,910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目標價（前值）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未載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變動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上調（幅度不可計算）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評價依據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原文未揭露 EPS 與本益比；依據為 7 月營收月增 20.69%（本批八檔中次高）</w:t>
            </w:r>
          </w:p>
        </w:tc>
      </w:tr>
    </w:tbl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二、論點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7 月營收月增 20.69%，僅次於富喬的 24.01%，為統一投顧本次上調四檔中營收動能最強者。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上調理由同批載為「規格升級、供需緊張、技術領先、訂單外溢」四大利多，新產能開出為主要驅動。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外資對照：花旗同窗口報告認為 CCL 受惠缺貨，「台光電可望率先發動新一輪漲價，台燿將跟進」，台燿在漲價順序上被定位為跟進者而非領先者。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三、風險與資訊缺口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原文未給評等文字，未載目標價前值，上調幅度無法量化。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未揭露 EPS 與本益比，1,910 元評價基礎無法驗證。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花旗將台燿定位為「跟進」漲價者，與統一投顧一次性大幅上調的力道之間，漲價節奏落差原文未調和。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依據為單月營收月增率，屬循環性動能，非結構性改善。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四、來源連結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旺得富 8/13 05:01｜統一投顧 PCB 月報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9"/>
        </w:rPr>
        <w:t xml:space="preserve">  https://wantrich.chinatimes.com/news/20260813900003-420101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經濟日報 8/12 20:17｜花旗產業報告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9"/>
        </w:rPr>
        <w:t xml:space="preserve">  https://money.udn.com/money/story/5607/9687736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16"/>
        </w:rPr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/>
          <w:color w:val="888888"/>
          <w:sz w:val="19"/>
        </w:rPr>
        <w:t>本摘要依公開新聞整理，非完整報告。</w:t>
      </w:r>
    </w:p>
    <w:sectPr w:rsidR="00FC693F" w:rsidRPr="0006063C" w:rsidSect="00034616">
      <w:head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