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台積電（2330）券商觀點摘要｜花旗證券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報導日期：2026-07-06（經濟日報）｜外資｜產業：半導體－晶圓代工｜本篇為補收錄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6826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評等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買入（重申）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3,800 元（法人圈新天價）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EPS 預估（2026–2028）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106.15 / 148.69 / 198.42 元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資本支出預估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2026年 550 億美元不變；2027／2028 年上調至 750／800 億美元（原 680／750 億）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核心論點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「雙重護城河」：先進製程＋先進封裝；核心優勢已不只技術領先，更在無人能及的製造規模。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2028年底 A14、N2/A16、N3 先進製程合併月產能上看35萬–40萬片；享標準型EUV優先取得權，無需急於導入High-NA EUV仍可加速擴產。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CoWoS、SoIC與COUPE已成AI加速器業界事實標準；Intel EMIB在超大型AI系統可擴展性難以抗衡。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首度預測2029–2030年啟動下一代先進封裝CoPoS與玻璃基板量產，初期月產能4萬–5萬片。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N2/N3需求剛性支撐下，晶圓代工價格到2027年穩定走高；預期法說會上調全年營收目標與長期CAGR（雙喜臨門）。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折舊費用增加與2奈米量產初期毛利稀釋壓力。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AI需求若放緩，先進製程稼動率與漲價動能同步受影響。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經濟日報 2026-07-06：台積電法說前夕外資掀底牌！雙重護城河發威 目標價狂飆天價3,800元 https://money.udn.com/money/story/5607/9610463</w:t>
      </w:r>
    </w:p>
    <w:p>
      <w:pPr>
        <w:spacing w:after="0" w:before="240"/>
      </w:pPr>
      <w:r>
        <w:rPr>
          <w:rFonts w:ascii="Microsoft JhengHei" w:cs="Microsoft JhengHei" w:eastAsia="Microsoft JhengHei" w:hAnsi="Microsoft JhengHei"/>
          <w:i/>
          <w:iCs/>
          <w:color w:val="888888"/>
          <w:sz w:val="17"/>
          <w:szCs w:val="17"/>
        </w:rPr>
        <w:t xml:space="preserve">本摘要依公開新聞整理，非完整報告。內容僅供研究參考，非投資建議。</w:t>
      </w:r>
    </w:p>
    <w:sectPr>
      <w:headerReference w:type="default" r:id="rId9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2026-07-12T11:22:11.226Z</dcterms:created>
  <dcterms:modified xsi:type="dcterms:W3CDTF">2026-07-12T11:22:11.226Z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