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32"/>
        </w:rPr>
        <w:t>台積電（2330）券商觀點摘要｜野村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整理日期：2026年7月17日｜產業：半導體－晶圓代工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券商（屬性）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野村（外資）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評等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未揭露（報導僅列目標價）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目標價（新）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3,425元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目標價（舊）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未揭露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報告/報導時點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法說會前出具（中時7/16報導；原始發布日待確認）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核心論點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野村於法說會前將台積電目標價上修至3,425元，位居外資圈前段（僅次於花旗3,800、Aletheia 3,500），報導未揭露評等與前值。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外資圈法說前普遍看好：AI與HPC需求強勁下先進製程與封裝供不應求，2027年先進製程代工報價有望上漲5%～10%。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本筆為補收錄之法說前觀點，法說會後野村是否進一步調整，待後續報導確認。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近期營運與法說會背景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台積電2026年Q2稅後純益7,065.6億元（年增77%）、EPS 27.25元，毛利率67.7%、營益率60.3%，皆創單季新高；上半年累計大賺近5個股本。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法說會將2026年全年美元營收年增率由「逾30%」二度上調至「略高於40%」；Q3美元營收指引446～458億美元（中位數季增約12%）、毛利率65～67%。資本支出由520～560億美元大幅上調至600～640億美元（約70～80%投入先進製程），並宣布亞利桑那州追加1,000億美元投資（美國累計2,650億美元）。魏哲家表示AI需求「極度強勁」，動能可能延續至2029、2030年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法說後資訊（資本支出600～640億美元、營收展望上調）未必已反映於該報告，數字時效性待確認。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利多不漲之高估值風險：法說後ADR收跌2.32%、費半重挫逾4%，半導體類股自6月高點回落近兩成，籌碼與情緒面波動加劇。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美元營收展望隱含下半年動能高度依賴AI資本支出持續性，若CSP投資節奏放緩、地緣政治或匯率（台幣貶值環境反轉）生變，均構成下修風險。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中時新聞網 2026/07/16 11:29「台積電下午法說攤牌！5大關鍵 目標價一次看」：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https://www.chinatimes.com/realtimenews/20260716002179-260410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21:38「AI浪潮助攻 多家機構看好台積電 目標價頻創新高」：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https://news.cnyes.com/news/id/6537278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</w:r>
    </w:p>
    <w:p>
      <w:pPr>
        <w:spacing w:after="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本摘要依公開新聞整理，非完整報告。內容僅供研究參考，非投資建議。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