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Microsoft JhengHei" w:hAnsi="Microsoft JhengHei" w:eastAsia="Microsoft JhengHei"/>
          <w:b/>
          <w:i w:val="0"/>
          <w:sz w:val="28"/>
        </w:rPr>
        <w:t>台積電(2330)｜亞系外資（未具名）研究觀點摘要</w:t>
      </w:r>
    </w:p>
    <w:p>
      <w:pPr>
        <w:spacing w:after="20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報告日期（新聞見報）：2026/07/17｜外資｜產業：半導體－晶圓代工</w:t>
      </w:r>
    </w:p>
    <w:p>
      <w:pPr>
        <w:spacing w:after="120" w:before="200"/>
      </w:pPr>
      <w:r>
        <w:rPr>
          <w:rFonts w:ascii="Microsoft JhengHei" w:hAnsi="Microsoft JhengHei" w:eastAsia="Microsoft JhengHei"/>
          <w:b/>
          <w:i w:val="0"/>
          <w:sz w:val="24"/>
        </w:rPr>
        <w:t>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7540"/>
            <w:shd w:val="clear" w:fill="D9E2F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評等</w:t>
            </w:r>
          </w:p>
        </w:tc>
        <w:tc>
          <w:tcPr>
            <w:tcW w:type="dxa" w:w="75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中立（自「優於大盤」降評；台積電法說後外資圈唯一降評）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</w:t>
            </w:r>
          </w:p>
        </w:tc>
        <w:tc>
          <w:tcPr>
            <w:tcW w:type="dxa" w:w="75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2,700元（前值2,808元，下修約3.8%）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EPS 預估</w:t>
            </w:r>
          </w:p>
        </w:tc>
        <w:tc>
          <w:tcPr>
            <w:tcW w:type="dxa" w:w="75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2026年上修4%、2027年持平（絕對值未揭露，待確認）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評價</w:t>
            </w:r>
          </w:p>
        </w:tc>
        <w:tc>
          <w:tcPr>
            <w:tcW w:type="dxa" w:w="75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目標本益比由24倍下調至22倍</w:t>
            </w:r>
          </w:p>
        </w:tc>
      </w:tr>
    </w:tbl>
    <w:p>
      <w:pPr>
        <w:spacing w:after="120" w:before="200"/>
      </w:pPr>
      <w:r>
        <w:rPr>
          <w:rFonts w:ascii="Microsoft JhengHei" w:hAnsi="Microsoft JhengHei" w:eastAsia="Microsoft JhengHei"/>
          <w:b/>
          <w:i w:val="0"/>
          <w:sz w:val="24"/>
        </w:rPr>
        <w:t>主要論點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 w:val="0"/>
          <w:sz w:val="22"/>
        </w:rPr>
        <w:t>資本支出時點落後：認為台積電此波資本支出加速計劃，比AI週期啟動時點晚了1.5～2年，投資效益轉化落後於循環。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 w:val="0"/>
          <w:sz w:val="22"/>
        </w:rPr>
        <w:t>評價中樞下移：儘管上調獲利預估，仍認為市場將以較低本益比評價台積電，故降目標本益比至22倍，評等降至中立。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 w:val="0"/>
          <w:sz w:val="22"/>
        </w:rPr>
        <w:t>背景：台積電7/16法說將全年營收成長指引自逾30%上調至逾40%，但Q3毛利率指引65～67%（2奈米量產與海外廠稀釋）低於市場預期，ADR挫逾2%、台指期夜盤一度重挫。</w:t>
      </w:r>
    </w:p>
    <w:p>
      <w:pPr>
        <w:spacing w:after="120" w:before="200"/>
      </w:pPr>
      <w:r>
        <w:rPr>
          <w:rFonts w:ascii="Microsoft JhengHei" w:hAnsi="Microsoft JhengHei" w:eastAsia="Microsoft JhengHei"/>
          <w:b/>
          <w:i w:val="0"/>
          <w:sz w:val="24"/>
        </w:rPr>
        <w:t>風險提示（對照觀點）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 w:val="0"/>
          <w:sz w:val="22"/>
        </w:rPr>
        <w:t>此觀點與市場主流相左：其餘外資普遍認為毛利率稀釋屬短期因素（大摩「拉回就買」、麥格理升至4,200元天價、美銀估下半年毛利率仍可望挑戰70%），若AI需求與CSP資本支出持續上修，降評論點有被推翻之風險。</w:t>
      </w:r>
    </w:p>
    <w:p>
      <w:pPr>
        <w:spacing w:after="120" w:before="200"/>
      </w:pPr>
      <w:r>
        <w:rPr>
          <w:rFonts w:ascii="Microsoft JhengHei" w:hAnsi="Microsoft JhengHei" w:eastAsia="Microsoft JhengHei"/>
          <w:b/>
          <w:i w:val="0"/>
          <w:sz w:val="24"/>
        </w:rPr>
        <w:t>來源連結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• BigGo Finance 2026/07/17：https://finance.biggo.com/news/8d2bab45-9308-4fcf-8d28-1279dc13d402</w:t>
      </w:r>
    </w:p>
    <w:p>
      <w:pPr>
        <w:spacing w:after="200" w:before="0"/>
      </w:pPr>
      <w:r>
        <w:rPr>
          <w:rFonts w:ascii="Microsoft JhengHei" w:hAnsi="Microsoft JhengHei" w:eastAsia="Microsoft JhengHei"/>
          <w:b w:val="0"/>
          <w:i w:val="0"/>
          <w:sz w:val="20"/>
        </w:rPr>
        <w:t>• Yahoo股市 2026/07/17「台積電法說後多家外資力挺，目標價最高4200元，僅一亞系外資降評」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i/>
          <w:sz w:val="20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