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32"/>
        </w:rPr>
        <w:t>台積電（2330）券商觀點摘要｜海納國際（Susquehanna, SIG）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color w:val="606060"/>
          <w:sz w:val="18"/>
        </w:rPr>
        <w:t>整理日期：2026年7月17日｜產業：半導體－晶圓代工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1"/>
              </w:rPr>
              <w:t>項目</w:t>
            </w:r>
          </w:p>
        </w:tc>
        <w:tc>
          <w:tcPr>
            <w:tcW w:type="dxa" w:w="7370"/>
            <w:shd w:val="clear" w:fill="DCE6F1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1"/>
              </w:rPr>
              <w:t>內容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券商（屬性）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海納國際（Susquehanna, SIG）（外資）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分析師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Mehdi Hosseini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評等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買進（維持）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目標價（新）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ADR 600美元（未揭露台股目標價）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目標價（舊）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ADR 575美元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報告/報導時點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2026/07/16 法說會後（鉅亨網7/16 21:38報導）</w:t>
            </w:r>
          </w:p>
        </w:tc>
      </w:tr>
    </w:tbl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核心論點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法說會後將台積電ADR目標價自575美元調升至600美元，維持「買進」評等。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調升反映Q2獲利連五季創高、全年營收展望二度上調，以及AI基礎設施需求持續強勁。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近期營運與法說會背景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  <w:t>台積電2026年Q2稅後純益7,065.6億元（年增77%）、EPS 27.25元，毛利率67.7%、營益率60.3%，皆創單季新高；上半年累計大賺近5個股本。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  <w:t>法說會將2026年全年美元營收年增率由「逾30%」二度上調至「略高於40%」；Q3美元營收指引446～458億美元（中位數季增約12%）、毛利率65～67%。資本支出由520～560億美元大幅上調至600～640億美元（約70～80%投入先進製程），並宣布亞利桑那州追加1,000億美元投資（美國累計2,650億美元）。魏哲家表示AI需求「極度強勁」，動能可能延續至2029、2030年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風險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資本支出大幅上調至600～640億美元，市場憂心壓縮自由現金流與股東回報空間；2奈米量產初期折舊與海外廠成本恐稀釋短期毛利率。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利多不漲之高估值風險：法說後ADR收跌2.32%、費半重挫逾4%，半導體類股自6月高點回落近兩成，籌碼與情緒面波動加劇。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美元營收展望隱含下半年動能高度依賴AI資本支出持續性，若CSP投資節奏放緩、地緣政治或匯率（台幣貶值環境反轉）生變，均構成下修風險。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來源連結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sz w:val="18"/>
        </w:rPr>
        <w:t>• 鉅亨網 2026/07/16 21:38「AI浪潮助攻 多家機構看好台積電 目標價頻創新高」：</w:t>
      </w:r>
      <w:r>
        <w:rPr>
          <w:rFonts w:ascii="Microsoft JhengHei" w:hAnsi="Microsoft JhengHei" w:eastAsia="Microsoft JhengHei" w:cs="Microsoft JhengHei"/>
          <w:color w:val="0563C1"/>
          <w:sz w:val="18"/>
        </w:rPr>
        <w:t>https://news.cnyes.com/news/id/6537278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sz w:val="18"/>
        </w:rPr>
        <w:t>• 鉅亨網 2026/07/17 美股盤後：費半重挫超4% 台積電ADR跌逾2%：</w:t>
      </w:r>
      <w:r>
        <w:rPr>
          <w:rFonts w:ascii="Microsoft JhengHei" w:hAnsi="Microsoft JhengHei" w:eastAsia="Microsoft JhengHei" w:cs="Microsoft JhengHei"/>
          <w:color w:val="0563C1"/>
          <w:sz w:val="18"/>
        </w:rPr>
        <w:t>https://news.cnyes.com/news/id/6537396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</w:r>
    </w:p>
    <w:p>
      <w:pPr>
        <w:spacing w:after="0"/>
      </w:pPr>
      <w:r>
        <w:rPr>
          <w:rFonts w:ascii="Microsoft JhengHei" w:hAnsi="Microsoft JhengHei" w:eastAsia="Microsoft JhengHei" w:cs="Microsoft JhengHei"/>
          <w:b w:val="0"/>
          <w:i/>
          <w:color w:val="808080"/>
          <w:sz w:val="18"/>
        </w:rPr>
        <w:t>本摘要依公開新聞整理，非完整報告。內容僅供研究參考，非投資建議。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