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台積電（2330）　券商觀點摘要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/>
          <w:b w:val="0"/>
          <w:sz w:val="20"/>
        </w:rPr>
        <w:t>里昂證券（★具名）｜半導體－晶圓代工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sz w:val="18"/>
        </w:rPr>
        <w:t>見報 2026/08/19 01:28｜經濟日報 記者魏興中｜★本場次補收錄之早盤窗口遺漏稿件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6973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里昂證券（CLSA，具名）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強力看好（維持）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3,700 元（前值 3,330 元，★上修 11.1%）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獲利預估調整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2026–2028 年獲利預測上調 8%～15%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資本支出預估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2027 年 800 億美元、2028 年 900 億美元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法人圈排名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第三高（麥格理 4,200 元最高、花旗買進 3,800 元第二）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里昂今年調升軌跡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月中 2,000 → 1 月底 3,030 → 6 月底 3,330 → 現在 3,700（★年來累計 +85%）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二、論點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★本場次最重要的一筆，也是本週單一具名機構對權值股最大幅度的上修。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★上修的雙軌邏輯＝（1）為 AI 建設提供支持（2）同時滿足其他客戶如蘋果等需求，並進一步拉開與英特爾、三星等潛在競爭對手的技術差距。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★資本支出是核心論據＝里昂估台積電 2027 年資本支出將達 800 億美元、2028 年 900 億美元，並將此視為技術差距擴大的具體投入證明。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★蘋果的量化貢獻＝預估今年底蘋果用於新款 iPhone 和 iPad 的 A20 晶片以及用於 MacBook 的 M6 晶片，將占台積電 2 奈米產能的一半，或一年後總產能的三分之一。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★這是本系統少見的「非 AI 客戶亦被量化」的論述＝多數台積電報告只談 AI，本則明確把蘋果的 2 奈米產能占比寫進去，論述完整度較高。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同業對照＝麥格理 4,200 元為唯一 4 字頭，理由是 Q2 表現超乎預期並上修財測，再次確認 AI 需求強勁與持續轉強的產業趨勢；花旗 3,800 元買進，看好 AI 晶片強勁拉貨、先進製程產能利用率維持高檔，尤其 N2 與 N3 需求的剛性支撐。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三、風險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★最大的風險就是調升節奏本身＝里昂今年來對台積電目標價已由 2,000 元一路調至 3,700 元，累計調幅 85%，且分四次上修。短時間內反覆大幅上修，代表原模型與現況落差已久或新模型假設高度樂觀，兩者都意味預估區間不確定性偏高。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★資本支出 800～900 億美元是投入而非產出，資本支出上升同時意味折舊壓力上升，原文完全未討論對毛利率的影響。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★蘋果占 2 奈米產能一半屬單一客戶高度集中，原文未做客戶集中度情境試算；若蘋果調整投片節奏，2 奈米稼動率的敏感度極高。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★見報當日（08/19）台股大跌 589 點、台積電收 2,350 元跌 1.26% 失守月線，費半重挫 4.98%，股價實際反應與此則正向看法完全背離。3,700 元對 2,350 元隱含 +57.4%（本系統回算）。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未載目標本益比與評價年度、未載各年度 EPS 絕對值，3,700 元無法回算驗證。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未載報告出具日期；本則為新聞轉述非報告原文。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四、來源</w:t>
      </w:r>
    </w:p>
    <w:p>
      <w:pPr>
        <w:spacing w:after="160" w:before="0"/>
      </w:pPr>
      <w:r>
        <w:rPr>
          <w:rFonts w:ascii="Microsoft JhengHei" w:hAnsi="Microsoft JhengHei" w:eastAsia="Microsoft JhengHei"/>
          <w:b w:val="0"/>
          <w:sz w:val="18"/>
        </w:rPr>
        <w:t>https://money.udn.com/money/story/5607/9699945</w:t>
      </w:r>
    </w:p>
    <w:p>
      <w:pPr>
        <w:spacing w:after="0" w:before="0"/>
      </w:pPr>
      <w:r>
        <w:rPr>
          <w:rFonts w:ascii="Microsoft JhengHei" w:hAnsi="Microsoft JhengHei" w:eastAsia="Microsoft JhengHei"/>
          <w:b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