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0"/>
        </w:rPr>
        <w:t>台積電（2330）｜美銀證券（★具名）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sz w:val="18"/>
        </w:rPr>
        <w:t>見報 2026/08/19 21:36 經濟日報記者張瀞文；2026/08/20 03:00 工商時報記者簡威瑟（同源）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81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7257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美銀證券（Bank of America；分析師 劉宇喬）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內／外資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產業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半導體－晶圓代工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投資評等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買進（維持）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3,100 元（★維持不變，無調整）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報告性質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★ 全維持型：評等不動、目標價不動，屬論點重申而非新評價事件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以 08/19 收盤 2,350 元計 ＋31.91%（本系統回算）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同業對照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里昂 3,700 元（強力看好，08/19 由 3,330 上修 11.1%）；麥格理 4,200 元（法人圈最高）；花旗 3,800 元；摩根大通 3,100 元（2026/07/08 優於大盤）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二、投資論點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★ 本則的核心不是目標價，而是資本支出：美銀與里昂在兩日內接力表態，共同把 2027 年資本支出的市場共識往上推，「2027 年 850 億美元」的新共識初具雛形。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1. 已核准金額為硬證據：台積電董事會已核准 290 億美元資本支出，用於先進前段與後段製程需求，使 2026 年前三季的預算年增率達 99%。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2. ★ 預算結構透露擴產階段：整體預算持續傾向前段擴產，先進後段封裝與特殊製程略微提升，而用於廠房與無塵室建置的預算比重已下滑——代表台積電正處於「機台進駐」而非「蓋廠」階段。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3. 需求端由下而上推估：美銀根據 GPU、ASIC、x86／ARM 伺服器 CPU、網路交換器及既有行動裝置 SoC 的晶圓需求估算，2026 年資本支出可望達成指引中間值 620 億美元。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4. ★ 2027 年的三層數字（本則資訊完整度最高之處）：美銀自身預估 780 億美元、市場共識 750 億美元、情境上緣 800～850 億美元；達成上緣的條件明確——資本撥款執行率維持年增 40～45%。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5. 海外擴產不再是純稀釋：亞利桑那廠 2026 年 Q2 營收 450 億元，季增 17%、年增 145%，占台積電總營收約 4%；扣除政府補助後淨利率由 2025 年的 -90% 回升至 38%（仍低於公司平均約 50%）。若海外產能利用率與定價執行良好，毛利率稀釋壓力可望緩和。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6. 毛利率觀點：HPC 需求穩健，憑技術領先，毛利率可望維持在接近 70%。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三、風險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★ 折舊與毛利率的內在張力：美銀自估 2026～2028 年折舊費用 CAGR 可能達 20%，同時稱毛利率可望維持接近 70%。兩者同時成立的前提是營收成長率高於折舊成長率，原文未提供敏感度試算，也未拆解折舊對各年度 EPS 的影響。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★ 資本支出是投入不是產出：800～850 億美元代表的是現金流出與未來折舊，把資本支出上修直接解讀為獲利利多需要額外假設（產能利用率、定價能力），美銀對這兩項均採正向假設但未量化下行情境。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★ 亞利桑那廠 38% 淨利率仍低於公司平均約 50%，海外占比只要繼續上升，結構性稀釋就仍在，只是幅度可能小於原先擔憂；原文未提供海外營收占比的分年路徑。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★ 目標價未動本身即是訊號：美銀在上修資本支出情境的同時維持 3,100 元不變，代表該行認為資本支出上修尚不足以改變評價，與里昂同期上修 11.1% 至 3,700 元形成對比。兩者相差 19.4%（本系統回算），差距來自評價方法而非產業判斷。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3,100 元未揭露目標本益比、評價年度與各年度 EPS 絕對值，無法回算驗證；未載報告出具日期；本則為新聞轉述非報告原文。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★ 股價與觀點背離：見報前兩個交易日台股合計回檔約千點，08/19 台積電收 2,350 元跌 1.26% 失守月線，費半重挫 4.98%，台積電 ADR 大跌 4.1%。外部變數為美伊對峙升高與全球長債殖利率位於數十年高點。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產業變數：三星已對部分先進製程新訂單漲價最高 15%（路透 08/19），英特爾傳將於 Razor Lake 採用台積 N2X；兩者方向相反，前者代表競爭者訂價能力回升，後者代表台積客戶基礎擴大，原文均未納入模型討論。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‧ 美銀：台積電2027年資本支出上看850億美元 目標價維持3,100元（經濟日報 2026/08/19 21:36）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 xml:space="preserve">   https://money.udn.com/money/story/5607/9702131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‧ 台積電股價連2黑 外資不畏 看好產能擴張帶動資本支出上千億（工商時報 2026/08/20 03:00）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 xml:space="preserve">   https://www.ctee.com.tw/news/20260820700078-430201</w:t>
      </w:r>
    </w:p>
    <w:p>
      <w:pPr>
        <w:spacing w:after="120" w:before="0"/>
      </w:pPr>
      <w:r>
        <w:rPr>
          <w:rFonts w:ascii="Microsoft JhengHei" w:hAnsi="Microsoft JhengHei" w:eastAsia="Microsoft JhengHei"/>
          <w:b w:val="0"/>
          <w:sz w:val="16"/>
        </w:rPr>
      </w:r>
    </w:p>
    <w:p>
      <w:pPr>
        <w:spacing w:after="0" w:before="0"/>
        <w:jc w:val="center"/>
      </w:pPr>
      <w:r>
        <w:rPr>
          <w:rFonts w:ascii="Microsoft JhengHei" w:hAnsi="Microsoft JhengHei" w:eastAsia="Microsoft JhengHei"/>
          <w:b w:val="0"/>
          <w:color w:val="808080"/>
          <w:sz w:val="16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