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/>
          <w:b/>
          <w:sz w:val="34"/>
        </w:rPr>
        <w:t>台達電（2308）券商觀點摘要</w:t>
      </w:r>
    </w:p>
    <w:p>
      <w:pPr>
        <w:spacing w:after="160" w:before="0"/>
        <w:jc w:val="center"/>
      </w:pPr>
      <w:r>
        <w:rPr>
          <w:rFonts w:ascii="Microsoft JhengHei" w:hAnsi="Microsoft JhengHei" w:eastAsia="Microsoft JhengHei"/>
          <w:b w:val="0"/>
          <w:color w:val="606060"/>
          <w:sz w:val="20"/>
        </w:rPr>
        <w:t>本國投顧（原文未具名）　|　2026-08-12　|　早盤場次</w:t>
      </w:r>
    </w:p>
    <w:p>
      <w:pPr>
        <w:spacing w:before="160" w:after="60"/>
      </w:pPr>
      <w:r>
        <w:rPr>
          <w:rFonts w:ascii="Microsoft JhengHei" w:hAnsi="Microsoft JhengHei" w:eastAsia="Microsoft JhengHei"/>
          <w:b/>
          <w:color w:val="1F3B63"/>
          <w:sz w:val="24"/>
        </w:rPr>
        <w:t>評等／目標價摘要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814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7654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內容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券商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本國投顧（原文未具名）（內資）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個股／產業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台達電（2308）　電源供應器／液冷／資料中心系統整合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投資評等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原文未明示（同期 18 家內外資分別給買進、增加持股）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目標價（新）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2,205 元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目標價（舊）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未揭露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變動說明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前值未載，無法判斷方向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見報日期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2026-08-12</w:t>
            </w:r>
          </w:p>
        </w:tc>
      </w:tr>
    </w:tbl>
    <w:p>
      <w:pPr>
        <w:spacing w:before="160" w:after="60"/>
      </w:pPr>
      <w:r>
        <w:rPr>
          <w:rFonts w:ascii="Microsoft JhengHei" w:hAnsi="Microsoft JhengHei" w:eastAsia="Microsoft JhengHei"/>
          <w:b/>
          <w:color w:val="1F3B63"/>
          <w:sz w:val="24"/>
        </w:rPr>
        <w:t>論點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1. 目標價上看 2,205 元；預估營業利益率將逐年成長至 2026 年 18％、2027 年 19.7％。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2. 台達電持續朝向資料中心系統整合商發展，透過增加產能及區域團隊建置擴大領先優勢；電源及液冷產品龍頭市占率高，受惠程度明顯。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3. 7 月營收 670.7 億元、月增 2.2％、年增 47.8％，符合預期；近期有 18 家本國投顧與外資券商點評台達電，看好下半年營收及獲利優於上半年，Q3 受惠傳統旺季及 AI 電源需求，Q4 在 HVDC 產品放量帶動下可望優於季節性。</w:t>
      </w:r>
    </w:p>
    <w:p>
      <w:pPr>
        <w:spacing w:before="160" w:after="60"/>
      </w:pPr>
      <w:r>
        <w:rPr>
          <w:rFonts w:ascii="Microsoft JhengHei" w:hAnsi="Microsoft JhengHei" w:eastAsia="Microsoft JhengHei"/>
          <w:b/>
          <w:color w:val="1F3B63"/>
          <w:sz w:val="24"/>
        </w:rPr>
        <w:t>風險與資訊缺口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・券商未具名，未揭露 EPS 預估、本益比與目標價前值，2,205 元推導無法驗證；未載報告出具日期。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・「18 家內外資點評」為媒體彙整敘述，各家目標價與評等未逐一揭露，無法判斷 2,205 元在市場分布中的位置。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・營益率 2027 年升至 19.7％ 為關鍵假設，惟轉型系統整合商過程中的費用增加與專案毛利波動原文未討論。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・本則為權證專區稿件，性質上非獨立券商研究專稿。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・HVDC 產品放量時程為 Q4，時點集中，遞延則 Q4 優於季節性的論述失準。</w:t>
      </w:r>
    </w:p>
    <w:p>
      <w:pPr>
        <w:spacing w:before="160" w:after="60"/>
      </w:pPr>
      <w:r>
        <w:rPr>
          <w:rFonts w:ascii="Microsoft JhengHei" w:hAnsi="Microsoft JhengHei" w:eastAsia="Microsoft JhengHei"/>
          <w:b/>
          <w:color w:val="1F3B63"/>
          <w:sz w:val="22"/>
        </w:rPr>
        <w:t>來源連結</w:t>
      </w:r>
    </w:p>
    <w:p>
      <w:pPr>
        <w:spacing w:after="20" w:before="0"/>
      </w:pPr>
      <w:r>
        <w:rPr>
          <w:rFonts w:ascii="Microsoft JhengHei" w:hAnsi="Microsoft JhengHei" w:eastAsia="Microsoft JhengHei"/>
          <w:b w:val="0"/>
          <w:sz w:val="17"/>
        </w:rPr>
        <w:t>・工商時報 2026/08/12 03:00 https://www.ctee.com.tw/news/20260812700308-430203</w:t>
      </w:r>
    </w:p>
    <w:p>
      <w:pPr>
        <w:spacing w:after="0" w:before="160"/>
      </w:pPr>
      <w:r>
        <w:rPr>
          <w:rFonts w:ascii="Microsoft JhengHei" w:hAnsi="Microsoft JhengHei" w:eastAsia="Microsoft JhengHei"/>
          <w:b w:val="0"/>
          <w:color w:val="808080"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