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2"/>
          <w:szCs w:val="32"/>
        </w:rPr>
        <w:t xml:space="preserve">嘉澤（3533）券商觀點摘要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報告日期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2026-07-19（經濟日報 7/19 21:52 報導；2026-07-21 早盤補收錄）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券商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大和資本（Daiwa Capital Markets，外資）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報告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「台灣資料中心硬體」產業報告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產業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電子零組件-連接器（CPU Socket／伺服器連接器）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評等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買進（維持）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3,533 元（維持，未調整）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大和「台灣資料中心硬體」報告持續看多嘉澤，維持買進與原目標價，屬看多組合成員（首選為南電）。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嘉澤主力 CPU Socket 與伺服器連接器，直接受惠伺服器規格升級週期與 CPU 伺服器需求；大和接觸之長期投資人對 CPU 相關股票保持正面。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支出結構轉向 ASIC／CPU 伺服器，平台迭代（腳位數增加）支撐產品單價與內容價值成長。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報告明示：CPU 伺服器出貨量今年可能因零組件缺貨面臨一定風險。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非漲價受惠者，獲利上修動能可能弱於載板／記憶體等短缺零組件廠。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族群籌碼面修正未完全結束時，高價股波動大。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來源連結</w:t>
      </w:r>
    </w:p>
    <w:p>
      <w:pPr>
        <w:spacing w:after="80"/>
      </w:pPr>
      <w:hyperlink w:history="1" r:id="rIdtw1coyrkmrideq-4hnmr7">
        <w:r>
          <w:rPr>
            <w:rFonts w:ascii="Microsoft JhengHei" w:cs="Microsoft JhengHei" w:eastAsia="Microsoft JhengHei" w:hAnsi="Microsoft JhengHei"/>
            <w:color w:val="0563C1"/>
            <w:sz w:val="20"/>
            <w:szCs w:val="20"/>
            <w:u w:val="single"/>
          </w:rPr>
          <w:t xml:space="preserve">大和：資料中心硬體受惠短缺題材看好五檔台股 南電目標價上調近70%（經濟日報 2026-07-19）</w:t>
        </w:r>
      </w:hyperlink>
    </w:p>
    <w:p>
      <w:pPr>
        <w:spacing w:before="30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w1coyrkmrideq-4hnmr7" Type="http://schemas.openxmlformats.org/officeDocument/2006/relationships/hyperlink" Target="https://udn.com/news/story/7251/9637759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2026-07-21T00:18:04.538Z</dcterms:created>
  <dcterms:modified xsi:type="dcterms:W3CDTF">2026-07-21T00:18:04.538Z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