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嘉澤(3533)　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404040"/>
          <w:sz w:val="19"/>
        </w:rPr>
        <w:t>2026-08-14／盤後場次　　資料整理：旺來 wowwow31001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540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日期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2026-08-14（盤後場次）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歐系外資（原文未具名）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外資／內資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個股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嘉澤(3533)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電子零組件－連接器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評等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買進（維持）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2,650 元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3,080 元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一句話重點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Q2財報低於法人預期，2026至2028年每股盈餘預估下修4%~10%，維持買進但目標價由3,080元下調至2,650元。</w:t>
            </w:r>
          </w:p>
        </w:tc>
      </w:tr>
    </w:tbl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二、論點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★本場次最一致的訊號＝美系、日系及歐系三家外資同日、同方向下調嘉澤2026至2028年獲利與 EPS 預估並同步下調目標價，且三家全部維持「買進」評等——是「降價不降評」的典型組合。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下修幅度13.96%（本系統回算）。★三家中獲利下修幅度最小者，顯示歐系對毛利率逆風的持續性看法最溫和，惟原文未提供其論述內容。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共同觸發事件＝嘉澤第2季及上半年財報低於法人預期。上半年營業毛利89.72億元、年增8.78%，合併毛利率47.48%、年減3.74個百分點；營業淨利48.11億元、年減4.71%，營業淨利率25.46%、年減5.9個百分點。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★獲利與毛利率背離＝上半年稅後盈餘43.81億元、年增44.83%，EPS 39.04元，獲利大幅成長的同時營業淨利卻年減4.71%，顯示成長來自營業外項目而非本業，這是三家外資同時動手的核心原因。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營收動能仍在＝公司自結2026年7月合併營收33.69億元、年增18.6%，創單月歷史新高；累計前7月222.8億元、年增17.44%。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公司說法＝雖上半年 PC 受缺料拖累、伺服器新平台滲透率低、營運表現平平，但隨伺服器新平台放量、新產品（AI 伺服器 QD 水冷快接頭等）進入量產，仍樂觀看待未來營運。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原文載股價反應＝三家外資報告使嘉澤股價連兩天走低（8/13 法說後即遭摜殺至跌停）。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C00000"/>
          <w:sz w:val="24"/>
        </w:rPr>
        <w:t>三、風險與資訊限制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三家券商全部未具名（僅稱美系／日系／歐系），無法判斷研究品質，亦無法與既有序列逐家比對；三家皆未載報告出具日期。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★三家皆未揭露 EPS 預估絕對值、本益比與評價年度，目標價完全無法獨立回算驗證，僅能取得下修「幅度」。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毛利率壓力為已實現事實而非預期＝Q2 毛利率45.47%、季減4.08個百分點、年減5.53個百分點（公司法說揭露），主因去年低價採購原材料已於首季消化完畢，目前須反映當前原材料市價。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★公司自述改善時點偏遠＝需等油價回穩與2027年伺服器新平台放量後毛利率才會改善，投資期間至少拉長一年。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美系外資自載的遞延風險最具體＝伺服器 ODM 面臨記憶體、PCB、CPU 組件短缺，新款 CPU 插槽出貨顯著提升將推遲，且推遲時程與影響金額均未量化。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「維持買進但大砍目標價」的組合訊號矛盾，評等未動可能只是尚未反映，後續若再有負面數據，降評風險高於升評機會。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本則為新聞轉述券商報告、非報告原文。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四、來源連結</w:t>
      </w:r>
    </w:p>
    <w:p>
      <w:pPr>
        <w:spacing w:after="2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• 中時新聞網《電零組》毛利率遇逆風 3外資同步下調嘉澤目標價（2026/08/14 10:29）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99"/>
          <w:sz w:val="17"/>
        </w:rPr>
        <w:t>https://www.chinatimes.com/realtimenews/20260814001772-260410</w:t>
      </w:r>
    </w:p>
    <w:p>
      <w:pPr>
        <w:spacing w:after="80" w:before="200"/>
        <w:jc w:val="center"/>
      </w:pPr>
      <w:r>
        <w:rPr>
          <w:rFonts w:ascii="Microsoft JhengHei" w:hAnsi="Microsoft JhengHei" w:eastAsia="Microsoft JhengHei" w:cs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