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 w:cs="Microsoft JhengHei"/>
          <w:b/>
          <w:color w:val="1F3B63"/>
          <w:sz w:val="30"/>
        </w:rPr>
        <w:t>國巨*（2327） 券商觀點摘要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2026/07/30｜外資 2 家＋本土法人多家（彙整）｜產業：被動元件－MLCC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087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機構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 A、外資 B（皆未具名）＋本土法人多家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未揭露（外資與本土法人普遍下調目標價）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最新目標價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外資：1,450 元、1,280 元；本土法人：688 ～ 1,240 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前次目標價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大摩 1,465 元（7/22 報告）、花旗 1,500 元（7/24 重申）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關鍵訊號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過半本土法人目標價低於 1,000 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報告／報導日期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2026/07/30（承 7/29 法說會後）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當日股價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跌停 456.5 元（跌 50.5 元），失守 500 元大關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論點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下調主因並非基本面轉弱，而是被動元件產業整體評價修正與去槓桿；外資兩家分別降至 1,450 元與 1,280 元，本土法人多數落在 688～1,240 元區間，過半低於 1,000 元。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公司端仍偏多：7/29 法說會經營團隊表示 6 月底接單出貨比（B/B Ratio）大幅跳增至 2.2，Q3 營運續強，若材料成本持續上漲不排除再漲價。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需求結構轉佳：供需格局持續趨緊，AI、運算與記憶體領域客戶對簽署多年期長期供應協議（LTA）的興趣日漸濃厚，顯示供不應求趨勢。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公司對 2026 年 Q3 釋出「營收溫和成長、利潤率進一步改善」的預測。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法說會上法人詢問是否執行庫藏股護盤，國巨明確表示目前無相關規劃，未提供股價支撐訊號。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股價自 7/1 高點 1,220 元一路下跌，7/30 收 456.5 元，波段跌幅逾 62%，散戶買一張帳面損失近百萬元。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風險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籌碼面風險最大：融資去槓桿與強制平倉尚未結束，7/31 起國巨*等 92 檔列注意股，處置與注意措施壓抑流動性。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重複下單（over-booking）疑慮：B/B Ratio 2.2 若含 OEM 客戶重複下單成分，Q4 起訂單能見度恐失真。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同業競爭：村田車規 MLCC 傳砍價、三星電機菲律賓新廠開出，均可能壓抑 ASP 上行。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評價區間下移：市場本益比可能由 15～18 倍壓回 8～10 倍，目標價下修循環未必結束。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外資與本土法人目標價落差極大（688 元 ～ 1,450 元），共識尚未收斂。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備註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兩家外資機構名稱新聞未具名，與 7/23 大摩（1,465 元）、7/24 花旗（1,500 元）是否同源待確認。本土法人 688～1,240 元為區間彙整，個別機構名稱未揭露。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FTNN 新聞網 2026/07/30 14:30：https://www.ftnn.com.tw/news/565674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FTNN 新聞網 2026/07/30 18:55（國巨暴跌62%／國安基金3條件）：https://www.ftnn.com.tw/news/565770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自由財經 2026/07/30（台勝科等9檔打入處置、國巨*等92檔列注意股）：https://ec.ltn.com.tw/article/breakingnews/5523401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本摘要依公開新聞整理，非完整報告。數據以原始報導為準，僅供研究參考，不構成投資建議。</w:t>
      </w:r>
    </w:p>
    <w:sectPr w:rsidR="00FC693F" w:rsidRPr="0006063C" w:rsidSect="00034616">
      <w:headerReference w:type="default" r:id="rIdWM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