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1F3364"/>
          <w:sz w:val="34"/>
        </w:rPr>
        <w:t>國巨*（2327）券商觀點摘要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color w:val="555555"/>
          <w:sz w:val="19"/>
        </w:rPr>
        <w:t>法人（原文未具名．內資）　｜　2026/08/11（二）盤後場次　｜　產業：被動元件－MLCC／鉭質電容／電阻／磁性元件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F33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法人（原文未具名）；出自工商時報 2026/08/11 10:02 盤中稿，行文體例與台系投顧研究報告一致，研判為內資投顧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買進（原文逐字：「投資評等維持『買進』」）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688 元／前值原文未揭露（原文用語為「目標價上修至 688 元」）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評價基礎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給予 2027 年 25 倍本益比評價（原文未揭露 2027 年 EPS 絕對值，故 688 元無法回算驗證）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報告出具日期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原文未載（觸發事件為 8/10 公布之 7 月營收）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隱含空間</w:t>
            </w:r>
          </w:p>
        </w:tc>
        <w:tc>
          <w:tcPr>
            <w:tcW w:type="dxa" w:w="7370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8/11 盤中一度大漲逾 7%、重新站回 600 元大關，終場漲約 7.68%；以 600 元附近計算，688 元隱含空間約 +15%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重要去重提醒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本系統 2026/08/07 已收錄「法人（未具名）買進 688 元」（同樣出自工商時報權證專欄、同樣未具名、同樣未揭露前值）。兩則目標價與評等完全撞號，不排除為同一機構同一份報告在 7 月營收公布後的重刊或小幅更新。本則仍計為新觀點，理由是首次揭露評價基礎（2027 年 25 倍本益比）、首次揭露 B/B Ratio 2.2 與 Q3 稼動率 90% 兩項新指標，且觸發事件為 8/10 才公布的 7 月營收。惟須明確認知：目標價本身相對 8/7 並無任何變動。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二、投資論點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・核心論點（逐字）：AI 伺服器對高階 MLCC、鉭質電容、電阻及磁性元件的需求「仍處於成長階段」，法人定調為結構性成長趨勢而非短循環。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・轉單邏輯：隨著日本、韓國被動元件大廠持續將產能轉向高階產品，中高階及標準型產品可能出現訂單外溢效應，國巨有機會承接更多轉單，進一步推升產能利用率與產品平均單價（ASP）。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・訂單能見度：B/B Ratio 已升至 2.2，代表新增訂單與出貨比率維持相對高檔；部分客戶已積極與國巨洽談長期供貨協議（LTA），希望提前鎖定未來半年至數年的產品需求。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・獲利路徑：法人預估 Q3 產能利用率可進一步升至 90%，稼動率提高加上高階產品占比提升，將有助推升毛利率及整體獲利表現。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・評價結論（逐字）：「法人考量 AI 需求具備結構性成長趨勢，加上被動元件供需逐漸改善，有利產品 ASP 及獲利率同步走升，因此給予國巨 2027 年 25 倍本益比評價，目標價上修至 688 元，投資評等維持『買進』」。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三、營運與財務數字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・7 月合併營收 161.31 億元，月增 5%、年增 51.5%，連續第 5 個月改寫單月歷史新高。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・累計前 7 月合併營收 987.53 億元，年增 32.5%；以美元計算年增 31.7%（幣別因素影響有限）。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・訂單指標：B/B Ratio 2.2。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・產能：法人預估 Q3 產能利用率升至 90%（原文未提供目前基準值，無法判斷提升幅度）。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・同業對照：華新科（2492）7 月營收 44.44 億元，月增 12.2%、年增 42%，創近 8 年單月新高，顯示族群性回溫而非單一公司現象。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・股價：8/11 開低後迅速翻紅，盤中一度大漲逾 7% 重新站回 600 元大關，終場漲 7.68%。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四、風險與資訊缺口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・最大缺口：券商未具名，且未揭露前次目標價、2027 年 EPS 預估與評價基準年獲利數字，688 元的推導過程完全無法驗證。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・與本系統既有序列的巨大落差：688 元遠低於歷史 FactSet 共識 927 元，亦遠低於 6 月美系券商與大摩的 1,050～1,355 元區間（超級供需失衡情境上看 2,055 元），本則內資觀點相對保守甚多；此差異究竟來自時點不同或假設不同，原文未說明。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・原文完全未提任何下行風險。對照大摩 7/22 下修時點名的四項風險——非 AI 需求下半年走弱、同業競爭加劇、併購未見成效、車用與工業未復甦（悲觀情境僅 15 倍本益比、685 元）——本則的多頭論述缺乏對稱的下檔討論。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・籌碼面反向訊號：8/11 當日外資反而賣超國巨 7,789 張、金額 48.06 億元，居當日賣超金額之冠，與「買進」訊號方向背離。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・「25 倍本益比」缺乏歷史區間對照，原文未說明該倍數相對國巨過去循環的位階是偏高或偏低。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・LTA 洽談為「部分客戶積極洽談」，尚非已簽訂，訂單能見度的實質程度存在解讀空間。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21"/>
        </w:rPr>
        <w:t>・B/B Ratio 2.2 屬極高水準，通常對應缺料與重複下單並存的階段，原文未討論重複下單的可能性與循環反轉時的回落風險。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color w:val="1F3364"/>
          <w:sz w:val="25"/>
        </w:rPr>
        <w:t>五、來源連結</w:t>
      </w:r>
    </w:p>
    <w:p>
      <w:pPr>
        <w:spacing w:after="40"/>
        <w:ind w:left="283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・工商時報（記者方明）2026/08/11 10:02：https://www.ctee.com.tw/news/20260811700705-430201</w:t>
      </w:r>
    </w:p>
    <w:p>
      <w:pPr>
        <w:spacing w:after="60" w:before="200"/>
      </w:pPr>
      <w:r>
        <w:rPr>
          <w:rFonts w:ascii="Microsoft JhengHei" w:hAnsi="Microsoft JhengHei" w:eastAsia="Microsoft JhengHei" w:cs="Microsoft JhengHei"/>
          <w:b w:val="0"/>
          <w:color w:val="777777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