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color w:val="1F3A5F"/>
          <w:sz w:val="30"/>
        </w:rPr>
        <w:t>國巨（2327）｜多家外資 喊買 目標價上看 1,450 元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2026/09/04 盤後場次｜2026/09/04 14:18 經濟日報 楊伶雯｜產業：電子零組件－被動元件（MLCC）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dxa" w:w="975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474"/>
        <w:gridCol w:w="1927"/>
        <w:gridCol w:w="1927"/>
        <w:gridCol w:w="181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隱含空間／估值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多家外資（★未具名）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買（原文「喊買」）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上看 1,450（★未點名券商；與花旗 08/14 重申 1,450 相同）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09/04 漲停收 562 元回算隱含 +158%（本系統回算）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2026/09/04｜經濟日報 9734647</w:t>
            </w:r>
          </w:p>
        </w:tc>
      </w:tr>
    </w:tbl>
    <w:p>
      <w:pPr>
        <w:spacing w:after="40"/>
      </w:pP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既有序列：花旗 08/14 買進（重申）1,450；高盛 07/30 買進（維持）1,280（前值 1,490）；大摩 07/23 優於大盤 1,465；凱基投顧 07/23 買進 1,250；法人 08/07／08/11 買進 688；摩根士丹利 08/29 輝達台系供應鏈 15 檔優於大盤（含國巨）。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本則「上看 1,450」與花旗 08/14 重申值相同，研判為既有報告區間之重述，非新的目標價調整；是否含新報告待確認。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TrendForce 指三星電機率先對 OEM／ODM 客戶調漲 2026 Q4 MLCC 報價（工商時報：Q4 報價漲 10%～30%），MLCC 正式進入漲價循環，Q4 供需缺口擴大。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三星電機取得 1.0722 兆韓元 AI 伺服器 MLCC 長約，AI 伺服器電源升級與高階 MLCC 需求題材發酵。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國巨 09/04 尾盤亮燈漲停收 562 元，華新科 298.5、禾伸堂 701、金山電 110.5、大毅同步漲停，信昌電 +8.09%；花旗 09/04 盤後舉辦 Citi 2026 Semicon Tour 投資人說明會。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★券商未點名、目標價為既有數字重述；花旗 09/04 說明會內容尚未見報。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目標價 1,450 對比現價 562 元差距逾 1.5 倍，反映 7 月底以來的估值修正（7 月底外資曾集體下調），漲價循環能否支撐獲利重估仍待 Q4 報價落地驗證。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本則為新聞轉述非報告原文。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https://money.udn.com/money/story/5607/9734647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https://www.ctee.com.tw/news/20260904701287-430201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