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大成鋼（2027）　個股摘要　2026/09/06</w:t>
      </w:r>
    </w:p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鋼鐵－不鏽鋼／鋁材美國通路　│　資料來源：工商時報 09/06 03:00 股市致勝周報 B9　│　整理：旺來研究報告系統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1360"/>
        <w:gridCol w:w="1247"/>
        <w:gridCol w:w="1474"/>
        <w:gridCol w:w="3175"/>
      </w:tblGrid>
      <w:tr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90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目標價（新）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目標價（前值）</w:t>
            </w:r>
          </w:p>
        </w:tc>
        <w:tc>
          <w:tcPr>
            <w:tcW w:type="dxa" w:w="3175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隱含空間 / 基準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★未具名券商</w:t>
              <w:br/>
              <w:t>（原文：09/04 最新出爐的券商報告）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看多（維持）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55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09/04 收 50.20 元回算 +9.6%（本系統回算）</w:t>
              <w:br/>
              <w:t>以今年 EPS 5.57 元計約 9.9 倍 PE（本系統回算）</w:t>
            </w:r>
          </w:p>
        </w:tc>
      </w:tr>
    </w:tbl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二、論點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預估今年 EPS 可達 5.57 元，目標價 55 元。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深耕美國在地化供應鏈，顯著受惠美國基礎建設法案持續推進。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德州鋁廠產能擴建效益發酵，帶動第二季起獲利大幅回升。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技術面：09/04 收 50.20 元收復 50 元關卡，成交量顯著增溫逾 1.7 萬張，均線維持多頭排列。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三、風險與但書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★券商完全未具名，僅稱「4 日最新出爐的券商報告」，亦未載外資／內資，資訊層級應打折。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★目標價前值與評價基準原文均未載。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55 元距 09/04 收盤僅約 9.6% 空間，上檔空間相對有限。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原文未列具體風險；本系統提示：美國基建法案執行進度、鋁價與不鏽鋼價格波動、關稅政策變動為主要變數。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★本系統首度收錄該檔具體目標價。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四、來源連結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 09/06 03:00（股市致勝周報 B9）：https://www.ctee.com.tw/news/20260906700153-439903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line="269" w:lineRule="auto"/>
      </w:pPr>
      <w:r>
        <w:rPr>
          <w:rFonts w:ascii="Microsoft JhengHei" w:hAnsi="Microsoft JhengHei" w:eastAsia="Microsoft JhengHei" w:cs="Microsoft JhengHei"/>
          <w:b/>
          <w:color w:val="B0303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