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Microsoft JhengHei" w:hAnsi="Microsoft JhengHei" w:eastAsia="Microsoft JhengHei"/>
          <w:b/>
          <w:sz w:val="30"/>
        </w:rPr>
        <w:t>大立光（3008）券商觀點摘要──本土投顧（未具名）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sz w:val="18"/>
        </w:rPr>
        <w:t>整理日期：2026/07/13（盤後場次）｜整理：旺來研究報告助手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評等／目標價摘要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報導日期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2026/07/13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券商／屬性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本土投顧・未具名（內資）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產業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光學元件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評等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買進（維持）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目標價（新）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5,643 元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目標價（舊）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未揭露（報導稱「上調至」）</w:t>
            </w:r>
          </w:p>
        </w:tc>
      </w:tr>
      <w:tr>
        <w:tc>
          <w:tcPr>
            <w:tcW w:type="dxa" w:w="1984"/>
            <w:shd w:val="clear" w:fill="EFEFEF"/>
          </w:tcPr>
          <w:p>
            <w:r>
              <w:rPr>
                <w:rFonts w:ascii="Microsoft JhengHei" w:hAnsi="Microsoft JhengHei" w:eastAsia="Microsoft JhengHei"/>
                <w:b/>
                <w:sz w:val="20"/>
              </w:rPr>
              <w:t>評價基礎</w:t>
            </w:r>
          </w:p>
        </w:tc>
        <w:tc>
          <w:tcPr>
            <w:tcW w:type="dxa" w:w="7370"/>
          </w:tcPr>
          <w:p>
            <w:r>
              <w:rPr>
                <w:rFonts w:ascii="Microsoft JhengHei" w:hAnsi="Microsoft JhengHei" w:eastAsia="Microsoft JhengHei"/>
                <w:b w:val="0"/>
                <w:sz w:val="20"/>
              </w:rPr>
              <w:t>2027 年 EPS 209 元 × 27 倍本益比</w:t>
            </w:r>
          </w:p>
        </w:tc>
      </w:tr>
    </w:tbl>
    <w:p>
      <w:pPr>
        <w:spacing w:after="2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報告論點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Q2 財報符合預期：營收 136.7 億元，毛利率 49.4%、營益率 37.7%，營業利益優於預估約 2%；EPS 35.7 元，受業外匯損與較高稅率拖累略低於預估。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高階手機鏡頭升級趨勢不受景氣波動影響：蘋果 2026 年續導入可變光圈鏡頭、iPhone 18 有望擴大光學升級；2027 年新機可望全面採用潛望式鏡頭模組，推升單價與獲利。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跨足 CPO 關鍵零組件 FAU（含光纖陣列 FA 與平行微透鏡陣列 PMLA），FA 量產進度最快，具精密對位（Alignment）技術與自建自動化設備優勢；若客戶驗證順利，9 月底完成產線建置。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預估 2026／2027 年營收 679 億／722 億元（年增 11%／6%），EPS 197／209 元。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13 日股價強勢攻上漲停，上漲 395 元至 4,345 元。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風險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FA 最快 2028 年才明顯挹注營收，占比僅約 1–2%，短期貢獻有限。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客戶驗證與新機導入時程存在不確定性；高階手機需求波動。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匯率變動影響獲利（Q2 即受匯損拖累）。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備註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20"/>
        </w:rPr>
        <w:t>伯恩斯坦 7/12 已給予大立光「優於大盤」、目標價 5,150 元（已收錄），本次內資 5,643 元為更高評價。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3"/>
        </w:rPr>
        <w:t>來源連結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sz w:val="18"/>
        </w:rPr>
        <w:t>ETtoday 財經雲 2026/07/13：https://finance.ettoday.net/news/3199967</w:t>
      </w:r>
    </w:p>
    <w:p>
      <w:pPr>
        <w:spacing w:after="4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7"/>
        </w:rPr>
        <w:t>本摘要依公開新聞整理，非券商完整報告；數字以原報導為準。</w:t>
      </w:r>
    </w:p>
    <w:sectPr w:rsidR="00FC693F" w:rsidRPr="0006063C" w:rsidSect="00034616">
      <w:headerReference w:type="default" r:id="rId9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