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大立光（3008）券商觀點摘要</w:t>
      </w:r>
    </w:p>
    <w:p>
      <w:pPr>
        <w:spacing w:after="160" w:line="276" w:lineRule="auto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券商：本土投顧（內資．★未具名）　｜　見報：工商時報 2026/09/07 03:00（06:31 更新）　｜　整理：旺來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7597"/>
      </w:tblGrid>
      <w:tr>
        <w:tc>
          <w:tcPr>
            <w:tcW w:type="dxa" w:w="2041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97"/>
            <w:shd w:val="clear" w:fill="1F3B63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本土投顧（內資．★未具名）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09/04 收盤價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7,400.00 元（+250.00、+3.50%）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近期營運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8 月營收 50.1 億元（月增 2.7%），為近四個月最佳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597"/>
            <w:shd w:val="clear" w:fill="F2F5F9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光學鏡頭－手機鏡頭／光通訊 FAU、CPO 光學元件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評價基準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★原文未載（無 EPS、無本益比）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二、投資論點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・本業旺季：iPhone 鏡頭進入旺季，下半年營收可望逐季成長；蘋果秋季發表會落在 09/09，為近期直接催化。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・資本支出訊號：近期購廠、購地動作明顯，市場解讀為將進軍 FAU（光纖陣列單元）自動化組裝，切入光通訊供應鏈。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・AI 光學新戰場：已打入輝達 1.6T／3.2T 產品規劃，2027 年末 Rubin 平台開始小量產。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・長線放量：2028 年 Feynman 平台導入矽光子／CPO 架構後，光學元件需求可望顯著放量。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・近期營收：8 月 50.1 億元月增 2.7%，為近四月最佳，符合旺季逐月墊高的軌跡。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三、風險與原文未揭露之處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・★無目標價、★券商未具名、★無 EPS 與評價基準，三項關鍵資訊皆缺，本則僅可作為方向性參考。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・CPO 題材時程長：Rubin 小量產在 2027 年末、Feynman 放量在 2028 年，距今超過一年，短期難以反映在財報。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・FAU 自動化組裝目前為市場推論（依購廠購地訊號），公司未正式揭露，屬未證實資訊。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・手機本業結構性壓力：規格升級速度趨緩與陸廠競爭，為近年大立光評價下滑的主因，本則報告未討論。</w:t>
      </w:r>
    </w:p>
    <w:p>
      <w:pPr>
        <w:spacing w:after="60" w:line="276" w:lineRule="auto"/>
      </w:pPr>
      <w:r>
        <w:rPr>
          <w:rFonts w:ascii="Microsoft JhengHei" w:hAnsi="Microsoft JhengHei" w:eastAsia="Microsoft JhengHei"/>
          <w:b w:val="0"/>
          <w:sz w:val="20"/>
        </w:rPr>
        <w:t>・09/09 蘋果發表會若規格或售價不如預期（DRAM 成本推升 i18 Pro 售價估漲 10-20%），恐影響備貨動能。</w:t>
      </w:r>
    </w:p>
    <w:p>
      <w:pPr>
        <w:spacing w:before="120" w:after="80"/>
      </w:pPr>
      <w:r>
        <w:rPr>
          <w:rFonts w:ascii="Microsoft JhengHei" w:hAnsi="Microsoft JhengHei" w:eastAsia="Microsoft JhengHei"/>
          <w:b/>
          <w:color w:val="1F3B63"/>
          <w:sz w:val="24"/>
        </w:rPr>
        <w:t>四、來源連結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・工商時報 20260907700223：https://www.ctee.com.tw/news/20260907700223-430203</w:t>
      </w:r>
    </w:p>
    <w:p>
      <w:pPr>
        <w:spacing w:after="20" w:line="276" w:lineRule="auto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・行情：鉅亨網個股頁 3008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40" w:line="276" w:lineRule="auto"/>
      </w:pPr>
      <w:r>
        <w:rPr>
          <w:rFonts w:ascii="Microsoft JhengHei" w:hAnsi="Microsoft JhengHei" w:eastAsia="Microsoft JhengHei"/>
          <w:b/>
          <w:color w:val="993333"/>
          <w:sz w:val="17"/>
        </w:rPr>
        <w:t>本摘要依公開新聞整理，非完整報告。標示★者為原文未載或本系統回算。</w:t>
      </w:r>
    </w:p>
    <w:sectPr w:rsidR="00FC693F" w:rsidRPr="0006063C" w:rsidSect="00034616">
      <w:headerReference r:id="rId9" w:type="default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