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 w:cs="Microsoft JhengHei"/>
          <w:b/>
          <w:color w:val="1F3B73"/>
          <w:sz w:val="36"/>
        </w:rPr>
        <w:t>大立光（3008）｜瑞銀證券</w:t>
      </w:r>
    </w:p>
    <w:p>
      <w:pPr>
        <w:spacing w:after="160"/>
      </w:pPr>
      <w:r>
        <w:rPr>
          <w:rFonts w:ascii="Microsoft JhengHei" w:hAnsi="Microsoft JhengHei" w:eastAsia="Microsoft JhengHei" w:cs="Microsoft JhengHei"/>
          <w:b w:val="0"/>
          <w:color w:val="444444"/>
          <w:sz w:val="18"/>
        </w:rPr>
        <w:t>2026/09/07 盤後場次　光學鏡頭 / CPO 光通訊　★本系統近期首見之重大降評</w:t>
      </w:r>
    </w:p>
    <w:p>
      <w:pPr>
        <w:spacing w:before="120" w:after="60"/>
      </w:pPr>
      <w:r>
        <w:rPr>
          <w:rFonts w:ascii="Microsoft JhengHei" w:hAnsi="Microsoft JhengHei" w:eastAsia="Microsoft JhengHei" w:cs="Microsoft JhengHei"/>
          <w:b/>
          <w:color w:val="1F3B73"/>
          <w:sz w:val="26"/>
        </w:rPr>
        <w:t>一、評等與目標價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701"/>
        <w:gridCol w:w="8051"/>
      </w:tblGrid>
      <w:tr>
        <w:tc>
          <w:tcPr>
            <w:tcW w:type="dxa" w:w="1701"/>
            <w:shd w:val="clear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8050"/>
            <w:shd w:val="clear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1701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 / 分析師</w:t>
            </w:r>
          </w:p>
        </w:tc>
        <w:tc>
          <w:tcPr>
            <w:tcW w:type="dxa" w:w="8050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瑞銀證券（UBS）　台灣研究部主管 艾藍迪（Randy Abrams）／外資</w:t>
            </w:r>
          </w:p>
        </w:tc>
      </w:tr>
      <w:tr>
        <w:tc>
          <w:tcPr>
            <w:tcW w:type="dxa" w:w="1701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評等</w:t>
            </w:r>
          </w:p>
        </w:tc>
        <w:tc>
          <w:tcPr>
            <w:tcW w:type="dxa" w:w="8050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★由「買進」直接降至「賣出」（跳過中性，調降 2 級）</w:t>
            </w:r>
          </w:p>
        </w:tc>
      </w:tr>
      <w:tr>
        <w:tc>
          <w:tcPr>
            <w:tcW w:type="dxa" w:w="1701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</w:t>
            </w:r>
          </w:p>
        </w:tc>
        <w:tc>
          <w:tcPr>
            <w:tcW w:type="dxa" w:w="8050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基本情境 5,000 元（原文稱維持不變）；樂觀情境 9,000 元、悲觀情境 2,500 元</w:t>
            </w:r>
          </w:p>
        </w:tc>
      </w:tr>
      <w:tr>
        <w:tc>
          <w:tcPr>
            <w:tcW w:type="dxa" w:w="1701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前值</w:t>
            </w:r>
          </w:p>
        </w:tc>
        <w:tc>
          <w:tcPr>
            <w:tcW w:type="dxa" w:w="8050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★未載（工商稿未揭露舊目標價；經濟日報盤後稿稱基本情境維持 5,000 元）</w:t>
            </w:r>
          </w:p>
        </w:tc>
      </w:tr>
      <w:tr>
        <w:tc>
          <w:tcPr>
            <w:tcW w:type="dxa" w:w="1701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EPS 預估</w:t>
            </w:r>
          </w:p>
        </w:tc>
        <w:tc>
          <w:tcPr>
            <w:tcW w:type="dxa" w:w="8050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 年 190 元、2027 年 214 元（盤後稿）；盤中稿另載 188／214／250 元 ★兩稿不一致</w:t>
            </w:r>
          </w:p>
        </w:tc>
      </w:tr>
      <w:tr>
        <w:tc>
          <w:tcPr>
            <w:tcW w:type="dxa" w:w="1701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評價方法</w:t>
            </w:r>
          </w:p>
        </w:tc>
        <w:tc>
          <w:tcPr>
            <w:tcW w:type="dxa" w:w="8050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手機鏡頭業務給 15 倍本益比；CPO 基準情境給 50 倍本益比、假設市占率 40%</w:t>
            </w:r>
          </w:p>
        </w:tc>
      </w:tr>
      <w:tr>
        <w:tc>
          <w:tcPr>
            <w:tcW w:type="dxa" w:w="1701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當日股價</w:t>
            </w:r>
          </w:p>
        </w:tc>
        <w:tc>
          <w:tcPr>
            <w:tcW w:type="dxa" w:w="8050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收 6,660 元、跌停（-10.00%），盤中低點 6,690 元、成交 1,973 張；目標價較 9 月初高點 7,995 元折價約 37.5%</w:t>
            </w:r>
          </w:p>
        </w:tc>
      </w:tr>
    </w:tbl>
    <w:p>
      <w:pPr>
        <w:spacing w:before="120" w:after="60"/>
      </w:pPr>
      <w:r>
        <w:rPr>
          <w:rFonts w:ascii="Microsoft JhengHei" w:hAnsi="Microsoft JhengHei" w:eastAsia="Microsoft JhengHei" w:cs="Microsoft JhengHei"/>
          <w:b/>
          <w:color w:val="1F3B73"/>
          <w:sz w:val="26"/>
        </w:rPr>
        <w:t>二、論點</w:t>
      </w:r>
    </w:p>
    <w:p>
      <w:pPr>
        <w:spacing w:after="40" w:line="276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  <w:t>1. 評價過高：股價自 4 月以來勁揚 242%，目前已達 2027 年預估獲利的 35 倍本益比，遠高於歷史長期的 13–18 倍。瑞銀認為智慧機成長平緩但毛利率穩健，本益比應回歸歷史區間。</w:t>
      </w:r>
    </w:p>
    <w:p>
      <w:pPr>
        <w:spacing w:after="40" w:line="276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  <w:t>2. CPO 定價過度樂觀：市場對 FAU（光纖陣列單元）進展過度樂觀。大立光預計第 3 季末才啟動樣品線，整合 PMLA（微透鏡陣列）與 FA、AOET 的 V-groove 及康寧光纖，「需要數個季度提升良率」，還須通過康寧、Senko、AuthenX 等整合商驗證才能量產。第三代光學組件要到 2028 年才實現。</w:t>
      </w:r>
    </w:p>
    <w:p>
      <w:pPr>
        <w:spacing w:after="40" w:line="276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  <w:t>3. 本業無亮點：占營收約 8 成的最大旗艦客戶新機拉貨量至多持平；高階機種可變光圈鏡頭有支撐，但折疊機鏡頭規格「保持相似」。手機本業另受記憶體漲價逆風拖累。</w:t>
      </w:r>
    </w:p>
    <w:p>
      <w:pPr>
        <w:spacing w:after="40" w:line="276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  <w:t>4. 動能檢驗：以 7–8 月營收推算，9 月營收需月增 73% 才能達到市場預期的季增 36%–38%。8 月營收 50.12 億元（月增 2.76%、年減 16.23%），Q3 累計達成率約 52%，低於過去旺季進度。</w:t>
      </w:r>
    </w:p>
    <w:p>
      <w:pPr>
        <w:spacing w:after="40" w:line="276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  <w:t>5. 競爭：既有供應商天孚通信，以及具垂直整合能力的 Coherent 等；大立光若推完整解決方案，可能與整合夥伴產生利益衝突。</w:t>
      </w:r>
    </w:p>
    <w:p>
      <w:pPr>
        <w:spacing w:before="120" w:after="60"/>
      </w:pPr>
      <w:r>
        <w:rPr>
          <w:rFonts w:ascii="Microsoft JhengHei" w:hAnsi="Microsoft JhengHei" w:eastAsia="Microsoft JhengHei" w:cs="Microsoft JhengHei"/>
          <w:b/>
          <w:color w:val="1F3B73"/>
          <w:sz w:val="26"/>
        </w:rPr>
        <w:t>三、風險與未揭露事項</w:t>
      </w:r>
    </w:p>
    <w:p>
      <w:pPr>
        <w:spacing w:after="40" w:line="276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  <w:t>• ★前次目標價與前次評等日期未揭露，無法判定調整幅度。</w:t>
      </w:r>
    </w:p>
    <w:p>
      <w:pPr>
        <w:spacing w:after="40" w:line="276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  <w:t>• ★兩稿 EPS 數字不一致（2026 年 188 元 vs 190 元），列待確認。</w:t>
      </w:r>
    </w:p>
    <w:p>
      <w:pPr>
        <w:spacing w:after="40" w:line="276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  <w:t>• 樂觀情境 9,000 元與悲觀情境 2,500 元區間極寬（相差 3.6 倍），顯示 CPO 業務能見度極低，目標價參考性應打折。</w:t>
      </w:r>
    </w:p>
    <w:p>
      <w:pPr>
        <w:spacing w:after="40" w:line="276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  <w:t>• 同日 09:42 另有★未具名法人稿方向相反（估 EPS 195／205 元、建議拉回布局），為降評消息發酵前的稿件。</w:t>
      </w:r>
    </w:p>
    <w:p>
      <w:pPr>
        <w:spacing w:after="40" w:line="276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  <w:t>• 09/09 蘋果秋季發表會為短線變數；報告未討論陸廠競爭與手機規格升級趨緩。</w:t>
      </w:r>
    </w:p>
    <w:p>
      <w:pPr>
        <w:spacing w:before="120" w:after="60"/>
      </w:pPr>
      <w:r>
        <w:rPr>
          <w:rFonts w:ascii="Microsoft JhengHei" w:hAnsi="Microsoft JhengHei" w:eastAsia="Microsoft JhengHei" w:cs="Microsoft JhengHei"/>
          <w:b/>
          <w:color w:val="1F3B73"/>
          <w:sz w:val="24"/>
        </w:rPr>
        <w:t>來源</w:t>
      </w:r>
    </w:p>
    <w:p>
      <w:pPr>
        <w:spacing w:after="20" w:line="276" w:lineRule="auto"/>
      </w:pPr>
      <w:r>
        <w:rPr>
          <w:rFonts w:ascii="Microsoft JhengHei" w:hAnsi="Microsoft JhengHei" w:eastAsia="Microsoft JhengHei" w:cs="Microsoft JhengHei"/>
          <w:b w:val="0"/>
          <w:color w:val="444444"/>
          <w:sz w:val="18"/>
        </w:rPr>
        <w:t>• https://www.ctee.com.tw/news/20260907700824-430201（工商時報 09/07 11:49）</w:t>
      </w:r>
    </w:p>
    <w:p>
      <w:pPr>
        <w:spacing w:after="20" w:line="276" w:lineRule="auto"/>
      </w:pPr>
      <w:r>
        <w:rPr>
          <w:rFonts w:ascii="Microsoft JhengHei" w:hAnsi="Microsoft JhengHei" w:eastAsia="Microsoft JhengHei" w:cs="Microsoft JhengHei"/>
          <w:b w:val="0"/>
          <w:color w:val="444444"/>
          <w:sz w:val="18"/>
        </w:rPr>
        <w:t>• https://money.udn.com/money/story/5710/9739795（經濟日報 09/07 17:45）</w:t>
      </w:r>
    </w:p>
    <w:p>
      <w:pPr>
        <w:spacing w:after="20" w:line="276" w:lineRule="auto"/>
      </w:pPr>
      <w:r>
        <w:rPr>
          <w:rFonts w:ascii="Microsoft JhengHei" w:hAnsi="Microsoft JhengHei" w:eastAsia="Microsoft JhengHei" w:cs="Microsoft JhengHei"/>
          <w:b w:val="0"/>
          <w:color w:val="444444"/>
          <w:sz w:val="18"/>
        </w:rPr>
        <w:t>• https://money.udn.com/money/story/5607/9738625（經濟日報 09/07 09:48 盤中版）</w:t>
      </w:r>
    </w:p>
    <w:p>
      <w:pPr>
        <w:spacing w:after="20" w:line="276" w:lineRule="auto"/>
      </w:pPr>
      <w:r>
        <w:rPr>
          <w:rFonts w:ascii="Microsoft JhengHei" w:hAnsi="Microsoft JhengHei" w:eastAsia="Microsoft JhengHei" w:cs="Microsoft JhengHei"/>
          <w:b w:val="0"/>
          <w:color w:val="444444"/>
          <w:sz w:val="18"/>
        </w:rPr>
        <w:t>• https://www.ctee.com.tw/news/20260907700582-430201（工商時報 09/07 09:42 法人稿）</w:t>
      </w:r>
    </w:p>
    <w:p>
      <w:pPr>
        <w:spacing w:after="20" w:line="276" w:lineRule="auto"/>
      </w:pPr>
      <w:r>
        <w:rPr>
          <w:rFonts w:ascii="Microsoft JhengHei" w:hAnsi="Microsoft JhengHei" w:eastAsia="Microsoft JhengHei" w:cs="Microsoft JhengHei"/>
          <w:b w:val="0"/>
          <w:color w:val="444444"/>
          <w:sz w:val="18"/>
        </w:rPr>
        <w:t>• https://www.ctee.com.tw/news/20260907701183-430201（09/07 收盤）</w:t>
      </w:r>
    </w:p>
    <w:p>
      <w:pPr>
        <w:spacing w:before="160"/>
      </w:pPr>
      <w:r>
        <w:rPr>
          <w:rFonts w:ascii="Microsoft JhengHei" w:hAnsi="Microsoft JhengHei" w:eastAsia="Microsoft JhengHei" w:cs="Microsoft JhengHei"/>
          <w:b/>
          <w:color w:val="444444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1906" w:h="16838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