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2"/>
        </w:rPr>
        <w:t>大聯大（3702）　券商觀點摘要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0"/>
        </w:rPr>
        <w:t>美系外資（工商時報未具名）｜電子通路－半導體零組件代理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sz w:val="18"/>
        </w:rPr>
        <w:t>見報 2026/08/19 09:56｜工商時報 記者王逸芯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項目</w:t>
            </w:r>
          </w:p>
        </w:tc>
        <w:tc>
          <w:tcPr>
            <w:tcW w:type="dxa" w:w="6973"/>
            <w:shd w:fill="DCE6F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美系外資（未具名）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評等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加碼（維持）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160 元（原文未載前值，無法計算調整幅度）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實績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營收季增 44%、年增 82%；稅後淨利 86 億元創新高；EPS 5.12 元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超預期幅度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較該機構預估高 35%、較市場共識高 32%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Q2 毛利率／營益率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4.43%（Q1 為 4.49%）／2.62%（Q1 為 2.68%）</w:t>
            </w:r>
          </w:p>
        </w:tc>
      </w:tr>
      <w:tr>
        <w:tc>
          <w:tcPr>
            <w:tcW w:type="dxa" w:w="238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公司 Q3 財測</w:t>
            </w:r>
          </w:p>
        </w:tc>
        <w:tc>
          <w:tcPr>
            <w:tcW w:type="dxa" w:w="697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營收 4,600～5,000 億元、EPS 5.45～6.15 元（公司指引，非該行預估）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二、論點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★核心驅動是記憶體＝記憶體營收占比由 2025 年 Q2 的 26%、2026 年 Q1 的 45%，進一步提高至 2026 年 Q2 的 54%。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★毛利率與營益率雙雙較前季微幅下滑，但營收規模明顯擴大，代表本次超預期是量的貢獻而非利潤率改善。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營運效率＝管理層在法說會表示營運資金報酬率（ROWC）創下新高、營運資金占用程度進一步降低。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★該行自己點出的最大保留＝公司 Q3 營收展望僅隱含約 5% 的季增幅度，相較 Q2 的 44% 季增，短期成長速度明顯放緩。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★該行對放緩的解釋＝記憶體價格漲幅趨緩，以及部分客戶提前在 Q2 拉貨；由於部分需求已提前反映，Q3 進一步超出市場預期的空間可能受限。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維持加碼的理由＝AI 需求持續擴大、終端產品記憶體搭載量提升、LaaS（物流即服務）業務擴張，以及營運效率進一步改善。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三、風險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★「Q2 超預期 35% 卻只維持評等與目標價」本身即是訊號＝該行認為超預期部分不具延續性，這與公司同日法說會樂觀口吻形成落差。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★通路商的記憶體業務是雙面刃＝漲價期有庫存增值利益，但一旦價格回落，庫存跌價損失同樣快速；原文完全未做價格敏感度試算。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★記憶體占比由 26% 升至 54% 在一年內翻倍，營收結構高度集中於單一景氣循環最劇烈的品項，集中度風險原文未討論。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客戶提前拉貨已被該行明確點名，代表 Q3 至 Q4 存在需求真空的可能，原文未量化。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目標價 160 元未載前值、未揭露目標本益比與評價年度、未載各年度 EPS 預估，無法回算。</w:t>
      </w:r>
    </w:p>
    <w:p>
      <w:pPr>
        <w:spacing w:after="60"/>
        <w:ind w:left="283" w:hanging="198"/>
      </w:pPr>
      <w:r>
        <w:rPr>
          <w:rFonts w:ascii="Microsoft JhengHei" w:hAnsi="Microsoft JhengHei" w:eastAsia="Microsoft JhengHei"/>
          <w:b w:val="0"/>
          <w:sz w:val="20"/>
        </w:rPr>
        <w:t>• 券商未具名、未載報告出具日期；本則為新聞轉述非報告原文。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/>
          <w:b/>
          <w:color w:val="1F3A5F"/>
          <w:sz w:val="26"/>
        </w:rPr>
        <w:t>四、來源</w:t>
      </w:r>
    </w:p>
    <w:p>
      <w:pPr>
        <w:spacing w:after="160" w:before="0"/>
      </w:pPr>
      <w:r>
        <w:rPr>
          <w:rFonts w:ascii="Microsoft JhengHei" w:hAnsi="Microsoft JhengHei" w:eastAsia="Microsoft JhengHei"/>
          <w:b w:val="0"/>
          <w:sz w:val="18"/>
        </w:rPr>
        <w:t>https://www.ctee.com.tw/news/20260819700907-430201</w:t>
      </w:r>
    </w:p>
    <w:p>
      <w:pPr>
        <w:spacing w:after="0" w:before="0"/>
      </w:pPr>
      <w:r>
        <w:rPr>
          <w:rFonts w:ascii="Microsoft JhengHei" w:hAnsi="Microsoft JhengHei" w:eastAsia="Microsoft JhengHei"/>
          <w:b/>
          <w:sz w:val="19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