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65C"/>
          <w:sz w:val="32"/>
        </w:rPr>
        <w:t>大銀微系統 (4576)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★未具名法人（工商時報權證專欄）　｜　精密機械／半導體設備－高精度定位平台・線性馬達　｜　2026/09/08 早盤場次　｜　旺來研究報告系統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color w:val="1F365C"/>
          <w:sz w:val="23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927"/>
        <w:gridCol w:w="7824"/>
      </w:tblGrid>
      <w:tr>
        <w:tc>
          <w:tcPr>
            <w:tcW w:type="dxa" w:w="1928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82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2026/09/08 見報（工商時報 03:00，權證專欄）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★完全未具名（原文僅稱「法人」），外資／內資亦未載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買進　★未載係新評、調升或維持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280 元／前值 ★未載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09/07 收盤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247.0 元，+9.0（+3.78%），開 250／高 258／低 245，成交 6,096 張（來源 Goodinfo）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上漲空間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+13.4%（本系統以 09/07 收 247 元回算）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8 月營收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4.27 億元　★創歷史單月新高，月增 16.35%、年增 98.05%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營收成長預估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 年年增 56.7%｜2027 年年增 30.8%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★原文未載，無法回算本益比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二、投資論點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8 月營收 4.27 億元創歷史單月新高，月增 16.35%、年增 98.05% — 年增接近翻倍，是本則報告最硬的證據。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利多一：半導體設備需求強勁，法人預估今年營收年增 56.7%、2027 年再年增 30.8%，兩年連續高成長。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利多二：高精度定位平台交期已拉長至半年以上 — 交期拉長是設備業定價權的先行指標，法人因此認為後續具備漲價空間。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產業定位：大銀微系統的高精度定位平台與線性馬達為半導體前段檢測、後段先進封裝設備的關鍵次系統，直接受惠於 CoWoS／SoIC 擴產與 AI 資本支出循環。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09/07 股價跳空上漲，盤中最高 258 元創 06/02 以來新高。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三、風險與資料缺口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★券商完全未具名，來源為權證專欄並附免責聲明 — 280 元不宜視為正式券商目標價，可信度應打折。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★未載 EPS 預估與評價基礎，280 元無可驗證的推導路徑；上檔空間僅 +13.4%，在無評價依據下，這個數字更像是技術面的整數關卡而非估值結論。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★未載前值與評等異動方向；本檔在本系統歷史紀錄中已有「大銀微系統新舊目標價與券商名」列為長期待補項目，至今仍未解。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★本系統首度為該檔建立個股資料夾 — 此前僅在 2026/09/06 的「營收三增選股」方向性清單中被凱基／群益投顧提及，從未有具體評等紀錄。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營收基數極小：單月 4.27 億元，年增 98% 係自低基期跳升；設備業訂單具批次性，單月創高不等於趨勢確立，需連續 2-3 個月驗證。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「交期拉長半年以上」是需求強的訊號，但同時也是產能不足的訊號 — 若無法及時擴產，訂單可能流向競爭者（如 THK、上銀集團內其他事業體）。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大銀微系統與上銀（2049）同屬卓永財家族集團，關係人交易與集團內資源配置為長期須留意的治理議題，本則報告未觸及。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流動性偏低（09/07 成交 6,096 張），且股價已跳空至波段新高，追價風險偏高。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四、來源連結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・工商時報｜鴻海、大銀微系統（權證專欄）　https://www.ctee.com.tw/news/20260908700276-439901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・Goodinfo｜大銀微系統 4576 日 K 線　https://goodinfo.tw/tw/ShowK_Chart.asp?STOCK_ID=4576&amp;CHT_CAT=DATE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/>
        <w:pBdr>
          <w:bottom w:val="single" w:sz="6" w:space="1" w:color="B8C4D9"/>
        </w:pBdr>
      </w:pP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本摘要依公開新聞整理，非完整報告。標示「★」處為原文未揭露之資料缺口；標示「本系統回算」之數字為本系統自行推算，非券商原文載明。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