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Microsoft JhengHei" w:hAnsi="Microsoft JhengHei" w:eastAsia="Microsoft JhengHei" w:cs="Microsoft JhengHei"/>
          <w:b/>
          <w:color w:val="1F3864"/>
          <w:sz w:val="34"/>
        </w:rPr>
        <w:t>奇鋐（3017）｜本土老牌投顧維持買進、目標價 3,835 元　水冷良率突破 90%</w:t>
      </w:r>
    </w:p>
    <w:p>
      <w:pPr>
        <w:spacing w:before="0" w:after="200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</w:rPr>
        <w:t>2026/07/28 21:00 發布　｜　內資（本土老牌投顧，未具名）　｜　散熱模組（AI 伺服器氣冷／水冷）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一、評等／目標價摘要</w:t>
      </w:r>
    </w:p>
    <w:tbl>
      <w:tblPr>
        <w:tblStyle w:val="TableGrid"/>
        <w:tblW w:type="dxa" w:w="9355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087"/>
      </w:tblGrid>
      <w:tr>
        <w:tc>
          <w:tcPr>
            <w:tcW w:type="dxa" w:w="2268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087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券商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本土老牌投顧（未具名）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投資評等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維持「買進」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目標價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3,835 元（維持）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6 月營收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176.18 億元，月增 11%、年增 66.1%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Q2 毛利率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預估上修 1.8 個百分點至 32.27%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Q2 EPS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同步上修至 21.88 元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水冷模組良率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突破 90%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下半年出貨節奏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AWS T3 氣冷 6 月起出貨；Google TPU、AMD MI455 散熱 Q3 小量、Q4 放量；VR200 機櫃 10–11 月出貨（零組件 8–9 月即貢獻）</w:t>
            </w:r>
          </w:p>
        </w:tc>
      </w:tr>
    </w:tbl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二、論點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毛利率上修是本次重點：水冷模組良率突破 90%、高毛利產品比重提升，Q2 毛利率預估上修 1.8 個百分點至 32.27%，EPS 同步上修至 21.88 元。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客戶平台接力清楚：AWS T3 氣冷 6 月起出貨、Google TPU 與 AMD MI455 相關散熱 Q3 小量供貨並於 Q4 放量、VR200 機櫃 10–11 月出貨（散熱零組件 8–9 月即開始貢獻），營收有望逐季成長。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6 月營收 176.18 億元月增 11%、年增 66.1%，動能強勁，反映氣冷與水冷雙軌同步放量。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投顧維持買進與 3,835 元目標價未變，屬「數字上修、評價維持」的組合，顯示評價倍數已充分反映成長。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三、風險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Q2 營收略低於市場預期，成長主要來自毛利率而非量能，若 Q3 營收未同步放大，獲利上修空間有限。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GB300 平台拉貨節奏放緩，為短期營收能見度的主要變數。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AWS T3 氣冷產品延至 5 月底至 6 月才放量，顯示客戶排程存在遞延風險。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水冷為新製程，良率雖突破 90%，但擴產後能否維持仍待驗證；散熱同業競爭與價格壓力亦需留意。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資料來源</w:t>
      </w:r>
    </w:p>
    <w:p>
      <w:pPr>
        <w:spacing w:before="0" w:after="40"/>
        <w:ind w:left="1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>• FTNN 07/28｜散熱大廠 AWS、Google、AMD 大單齊發，投顧維持買進目標價 3,835 元  https://www.ftnn.com.tw/news/565080</w:t>
      </w:r>
    </w:p>
    <w:p>
      <w:pPr>
        <w:spacing w:before="120" w:after="60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</w:rPr>
        <w:t>本摘要依公開新聞整理，非完整報告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