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奇鋐（3017）券商觀點摘要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資料來源：CMoney 券商評等彙整、工商時報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產業分類：散熱－水冷／機殼（AI 伺服器）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元大投顧（內資）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3,855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 年營收估 2,189.62 億元、EPS 100.86 元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投顧研究機構</w:t>
              <w:br/>
              <w:t xml:space="preserve">（內資，未具名）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工商時報權證專欄轉述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註：元大 3,855 元對應 2026 年 EPS 100.86 元，隱含本益比約 38 倍。權證專欄一則未具名亦未給目標價，兩則是否同一家券商待確認。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・成長來自客戶版圖擴張而非單一平台：投顧指出產品組合持續改善，2027 年陸續有新客戶加入。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・2027 年 Rubin Ultra 將有一家新的美系業者開始採購 VR200，奇鋐為該廠商水冷與機殼供應商之一，且為 Switch Tray 水冷主要供應商之一——這是「新客戶＋新料號」雙加分。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・獲利品質改善：生產效率提升與良率改善帶動毛利率可望提升。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・出貨時程：Rubin 水冷零組件將於 8～9 月開始量產出貨；Rubin Ultra 於 2027 年 Q3 開始量產出貨。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・出貨量預估：2027 年 VR200 出貨量將達 6～7 萬櫃，Rubin Ultra 可能會占到 1.5 萬櫃。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・2026 年財務預估（元大）：營收約 2,189.62 億元、EPS 約 100.86 元。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・Q2 營收已低於預期（原文未揭露金額），短期動能不如預期是既成事實。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・VR200 出貨時程遞延至下半年，營收貢獻延後，且出貨量「仍需觀察後續製造效率」——時程風險是投顧自己點出的主要變數。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・3,855 元對應約 38 倍本益比，屬高評價，一旦 2027 年出貨量不如 6～7 萬櫃假設，評價壓縮空間大。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・成長高度綁定輝達 Rubin／Rubin Ultra 平台節奏，平台遞延風險無法分散。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・權證專欄一則未具名、未給目標價，資訊完整度低；元大未揭露舊目標價，無法判斷調升幅度。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・CMoney 8/5 18:50｜券商評等報告彙整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https://cmnews.com.tw/tag/%E5%88%B8%E5%95%86%E8%A9%95%E7%AD%89%E5%A0%B1%E5%91%8A%E5%BD%99%E6%95%B4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・工商時報 8/6｜晶技、奇鋐各擁利多 法人喊買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https://www.ctee.com.tw/news/20260806700286-430203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