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奇鋐(3017)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法人（未具名） ｜ 內資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法人（原文未具名）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散熱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3,890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・法人維持「買進」評等，將奇鋐目標價上修至 3,890 元。8/13 股價開高走高，盤中一度攻上漲停 3,200 元改寫歷史新高。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・獲利優於預期是關鍵：Q2 營收約 491 億元（季增0.2%、年增66%）低於市場原估的 530 億元，主因 GB300 水冷板出貨速度放緩；但毛利率升至 32.57% 季增 2.8 個百分點創單季新高，營益率 27.4% 季增 2.9 個百分點，EPS 24.37 元優於法人原估的 22.15 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・「營收未達標、獲利卻超標」的原因原文明載：水冷板良率改善加上自動化設備導入，使產品成本結構明顯優化。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・下半年動能：Rubin 平台水冷板預計 9 月開始量產，AWS T3 水冷方案及 Google T8 相關產品 Q4 逐步放量，營運逐季走高、明顯優於上半年。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最具體的新增量化資訊：部分 CSP ASIC 採垂直供電（VPD）設計，晶片模組兩側均需配置水冷板，單一模組水冷產品價值量有機會超過 3,000 元，產值甚至可能高於部分 GPU 散熱產品。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・滲透率上修：法人預估 AWS ASIC 水冷滲透率到 2027 年有機會提升至 50%~70%，高於先前預估的 30%。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・LPU 機櫃為另一潛在增量市場；交換器內部光收發模組密度提升後亦開始導入水冷，相關需求預計 2027 年起反映在營收。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・累計上半年營收 981.59 億元、毛利率 31.17%、稅後純益 174.83 億元、EPS 44.54 元。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・券商未具名、未載報告出具日期，無法判斷研究品質。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・未揭露 EPS 預估與本益比，3,890 元評價基礎完全無法回算；未載目標價前值，上修幅度無從計算。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・Q2 營收 491 億元低於市場原估 530 億元（差距 7.4%），GB300 水冷板出貨放緩為已實現事實，遞延量能與補回時程原文未量化。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・3,890 元對照 8/13 收盤 3,200 元隱含空間僅約 21.6%（本系統回算），而股價已於當日漲停創歷史新高，短線已反映相當部分預期。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・ASIC 水冷滲透率由 30% 上修至 50%~70% 為法人自行預估，未提供調整依據；VPD 單模組 3,000 元價值量亦未說明客戶與量產時程。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・LPU 機櫃與光收發模組水冷的營收貢獻落在 2027 年起，屬遞延題材。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https://www.ctee.com.tw/news/20260813700883-430201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