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B63"/>
          <w:sz w:val="32"/>
        </w:rPr>
        <w:t>奇鋐(3017)　券商觀點摘要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美系外資　｜　整理日 2026-08-15（盤後場次）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08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美系外資（工商時報未具名）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內外資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評等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買進（維持）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3,986 元（前值未載）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見報日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2026/08/14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本系統既有紀錄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 3,890 元（8/13）、FactSet 共識 3,880 元（8/13）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二、論點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2026 上半年 EPS 44.54 元，稅後盈餘 174.83 億元、年增 142.45%；其中 Q2 單季 EPS 24.37 元，單季營收、營業毛利、合併毛利率、淨利率、營業淨利與單季 EPS 均創歷史新高。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7 月合併營收 185.9 億元，月增 5.51%、年增 57.39%，創單月新高；前 7 月累計 1,167.49 億元、年增 80.34%。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成長時點明確：ASIC 客戶水冷專案訂單自 Q3 開始出貨，NVIDIA Vera Rubin 於 8 月底小批量產，兩者於 Q4 放量。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產能：目前水冷板月產能約 100 萬片、分歧管月產約 7,000 套（約 3,000~4,000 櫃），越南持續擴產，擴產後產能較現有增加約 50%。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外資將 2026/2027/2028 年營收預估上調 1%/2%/2%，淨利預估上調 11%/7%/8% — 淨利上修幅度遠大於營收，反映液冷零組件複雜化與自動化產線帶來的獲利能力提升。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三、風險與資訊限制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原文未載目標價前值，無法計算本次調整幅度；券商未具名，無法比對序列。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未載報告出具日期、未揭露 EPS 預估絕對值與本益比，3,986 元無法回算驗證。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3,986 元與本系統既有的 3,890 元（法人，8/13）、3,880 元（FactSet 共識，8/13）差距僅約 2.5%~2.7%，屬同一波財報後的密集群聚，非獨立訊號。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淨利預估上調幅度（11%）遠高於營收（1%），代表模型高度依賴毛利率假設；若水冷板良率或自動化效益不如預期，獲利彈性會反向放大。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Q2 營收實際低於市場原估（約 491 億元 vs 530 億元），成長來自獲利率而非出貨量，出貨節奏風險仍在。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四、來源連結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《電週邊》奇鋐再創天價 外資目標價喊上3986元（工商時報 2026.08.14）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https://www.ctee.com.tw/news/20260814700975-430201</w:t>
      </w:r>
    </w:p>
    <w:p>
      <w:pPr>
        <w:spacing w:before="280"/>
      </w:pPr>
      <w:r>
        <w:rPr>
          <w:rFonts w:ascii="Microsoft JhengHei" w:hAnsi="Microsoft JhengHei" w:eastAsia="Microsoft JhengHei"/>
          <w:b w:val="0"/>
          <w:color w:val="888888"/>
          <w:sz w:val="18"/>
        </w:rPr>
        <w:t>本摘要依公開新聞整理，非完整報告。</w:t>
      </w:r>
    </w:p>
    <w:sectPr w:rsidR="00FC693F" w:rsidRPr="0006063C" w:rsidSect="00034616">
      <w:headerReference xmlns:r="http://schemas.openxmlformats.org/officeDocument/2006/relationships"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