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奇鋐（3017）｜高盛證券 買進 ★目標價未載（ODM 產業報告 補收錄）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2026/09/05 早盤場次｜2026/09/04 23:57 經濟日報紙本版 崔馨方（09/04 10:46 同報告首發稿未列奇鋐）｜產業：電子零組件－散熱（水冷板／機殼／機櫃）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高盛證券（★具名）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買進（★本次首度見報於此份 ODM 產業報告；本系統高盛既有紀錄 04/27 買進 3,536）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★原文未載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09/04 收 3,560 元（+8%，創天價）；既有最高 TP 金控投顧 4,500 隱含 +26.4%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 23:57｜經濟日報 9735332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既有序列：金控旗下投顧 09/04 目標價調升至 4,500（評等未載）；美系外資 08/15 買進 3,986；FactSet 共識 08/13 3,880；摩根大通 08/27 優於大盤（未載 TP）；高盛 04/27 買進 3,536（前值 2,259，AI 伺服器液冷業務 2026～2028 年營收 CAGR 35%）。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09/04 盤後場次已收錄同份高盛 ODM 報告六檔（鴻海／緯穎／緯創買進；廣達／英業達／仁寶中立），本則為紙本版補充之完整 10 檔清單，奇鋐為四檔「買進」之一。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產業三大成長主軸：蘋果新機量產帶動消費電子需求回溫；AI 伺服器規格升級推動零組件需求成長；ASIC AI 伺服器滲透率持續提升。新一代 AI 伺服器機架為下半年成長的重要動能。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高盛預期 10 家 ODM 8／9／10 月平均營收月減 2%／月減 3%／月增 3%，年增 50%／25%／27%；上半年拉貨潮後消費性電子放緩，由次世代機架式 AI 伺服器量產出貨抵銷。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奇鋐為報告中唯一入列「買進」的零組件（散熱）廠，反映 AI 伺服器規格升級對散熱零組件需求的拉動；本系統對照 09/04 金控投顧觀點：ASIC 需求帶動產品組合轉佳、Q4 VR 量產帶動水冷出貨、AMD MI400 水冷市占上修至 30%～40%。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★原文未載目標價與奇鋐個別論述，本則屬產業報告中的方向性評等；高盛個別報告之最新 TP 待查。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股價 09/04 創天價 3,560 元、雙鴻同日漲停並列處置，散熱族群短線波動放大；VR Ultra 設計尚未定案，水冷板用量假設可能變動。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https://money.udn.com/money/story/5607/9735332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https://money.udn.com/money/story/5612/9734021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https://www.ctee.com.tw/news/20260904700288-430203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