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宏捷科(8086)　金控旗下投顧：買進、目標價150元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2026-09-10（工商時報權證專欄）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★未具名（原文稱「金控旗下投顧研究機構」）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化合物半導體－VCSEL／InP 光通訊、無人機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150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VCSEL以100G發射端為主，估今年、2027年營收占比分別為6%與8%，年增率高達80%與59%。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VCSEL由850波長朝940、1060波長與客戶共同研發。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InP 2吋／3吋／4吋製程與客戶共同開發，新客戶以歐美系為主，顯著營運貢獻預期落在2028年之後。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VCSEL與InP營收占比目前偏低（今年僅約6%），短期對整體獲利貢獻有限。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InP新客戶顯著貢獻遞延至2028年後，中間存在期待落差風險。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★原文未列風險章節，亦未揭露EPS預估與本益比假設。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工商時報（2026-09-10 03:00）　https://www.ctee.com.tw/news/20260910700288-430203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