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Microsoft JhengHei" w:hAnsi="Microsoft JhengHei" w:eastAsia="Microsoft JhengHei" w:cs="Microsoft JhengHei"/>
          <w:b/>
          <w:color w:val="1F3864"/>
          <w:sz w:val="32"/>
        </w:rPr>
        <w:t>定穎投控(3715)　券商觀點摘要</w:t>
      </w:r>
    </w:p>
    <w:p>
      <w:pPr>
        <w:spacing w:after="160" w:before="0"/>
        <w:jc w:val="center"/>
      </w:pPr>
      <w:r>
        <w:rPr>
          <w:rFonts w:ascii="Microsoft JhengHei" w:hAnsi="Microsoft JhengHei" w:eastAsia="Microsoft JhengHei" w:cs="Microsoft JhengHei"/>
          <w:b w:val="0"/>
          <w:color w:val="404040"/>
          <w:sz w:val="19"/>
        </w:rPr>
        <w:t>2026-08-14／盤後場次　　資料整理：旺來 wowwow31001</w:t>
      </w:r>
    </w:p>
    <w:p>
      <w:pPr>
        <w:spacing w:after="60" w:before="0"/>
      </w:pPr>
      <w:r>
        <w:rPr>
          <w:rFonts w:ascii="Microsoft JhengHei" w:hAnsi="Microsoft JhengHei" w:eastAsia="Microsoft JhengHei" w:cs="Microsoft JhengHei"/>
          <w:b/>
          <w:color w:val="1F3864"/>
          <w:sz w:val="24"/>
        </w:rPr>
        <w:t>一、評等與目標價摘要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814"/>
            <w:shd w:val="clear" w:fill="1F386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7540"/>
            <w:shd w:val="clear" w:fill="1F386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內容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日期</w:t>
            </w:r>
          </w:p>
        </w:tc>
        <w:tc>
          <w:tcPr>
            <w:tcW w:type="dxa" w:w="7540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2026-08-14（盤後場次）</w:t>
            </w:r>
          </w:p>
        </w:tc>
      </w:tr>
      <w:tr>
        <w:tc>
          <w:tcPr>
            <w:tcW w:type="dxa" w:w="1814"/>
            <w:shd w:val="clear" w:fill="F2F5FA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券商</w:t>
            </w:r>
          </w:p>
        </w:tc>
        <w:tc>
          <w:tcPr>
            <w:tcW w:type="dxa" w:w="7540"/>
            <w:shd w:val="clear" w:fill="F2F5FA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統一投顧（總經理廖婉婷，具名）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外資／內資</w:t>
            </w:r>
          </w:p>
        </w:tc>
        <w:tc>
          <w:tcPr>
            <w:tcW w:type="dxa" w:w="7540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內資</w:t>
            </w:r>
          </w:p>
        </w:tc>
      </w:tr>
      <w:tr>
        <w:tc>
          <w:tcPr>
            <w:tcW w:type="dxa" w:w="1814"/>
            <w:shd w:val="clear" w:fill="F2F5FA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個股</w:t>
            </w:r>
          </w:p>
        </w:tc>
        <w:tc>
          <w:tcPr>
            <w:tcW w:type="dxa" w:w="7540"/>
            <w:shd w:val="clear" w:fill="F2F5FA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定穎投控(3715)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產業</w:t>
            </w:r>
          </w:p>
        </w:tc>
        <w:tc>
          <w:tcPr>
            <w:tcW w:type="dxa" w:w="7540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PCB／印刷電路板</w:t>
            </w:r>
          </w:p>
        </w:tc>
      </w:tr>
      <w:tr>
        <w:tc>
          <w:tcPr>
            <w:tcW w:type="dxa" w:w="1814"/>
            <w:shd w:val="clear" w:fill="F2F5FA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評等</w:t>
            </w:r>
          </w:p>
        </w:tc>
        <w:tc>
          <w:tcPr>
            <w:tcW w:type="dxa" w:w="7540"/>
            <w:shd w:val="clear" w:fill="F2F5FA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中立（由買進降評）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目標價（新）</w:t>
            </w:r>
          </w:p>
        </w:tc>
        <w:tc>
          <w:tcPr>
            <w:tcW w:type="dxa" w:w="7540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150／130（原文兩處數字不一致，待確認） 元</w:t>
            </w:r>
          </w:p>
        </w:tc>
      </w:tr>
      <w:tr>
        <w:tc>
          <w:tcPr>
            <w:tcW w:type="dxa" w:w="1814"/>
            <w:shd w:val="clear" w:fill="F2F5FA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目標價（舊）</w:t>
            </w:r>
          </w:p>
        </w:tc>
        <w:tc>
          <w:tcPr>
            <w:tcW w:type="dxa" w:w="7540"/>
            <w:shd w:val="clear" w:fill="F2F5FA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原文未載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一句話重點</w:t>
            </w:r>
          </w:p>
        </w:tc>
        <w:tc>
          <w:tcPr>
            <w:tcW w:type="dxa" w:w="7540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★本場次唯一降評個案：Q2 每股虧損0.81元、泰國廠 AI 產品量產遞延，評等由買進降至中立。</w:t>
            </w:r>
          </w:p>
        </w:tc>
      </w:tr>
    </w:tbl>
    <w:p>
      <w:pPr>
        <w:spacing w:after="60" w:before="160"/>
      </w:pPr>
      <w:r>
        <w:rPr>
          <w:rFonts w:ascii="Microsoft JhengHei" w:hAnsi="Microsoft JhengHei" w:eastAsia="Microsoft JhengHei" w:cs="Microsoft JhengHei"/>
          <w:b/>
          <w:color w:val="1F3864"/>
          <w:sz w:val="24"/>
        </w:rPr>
        <w:t>二、論點</w:t>
      </w:r>
    </w:p>
    <w:p>
      <w:pPr>
        <w:spacing w:after="60"/>
        <w:ind w:left="227"/>
      </w:pPr>
      <w:r>
        <w:rPr>
          <w:rFonts w:ascii="Microsoft JhengHei" w:hAnsi="Microsoft JhengHei" w:eastAsia="Microsoft JhengHei" w:cs="Microsoft JhengHei"/>
          <w:b w:val="0"/>
          <w:sz w:val="19"/>
        </w:rPr>
        <w:t>• ★本場次唯一同時砍評等與砍目標價（「價評雙砍」）的個案，訊號強度遠高於單純的目標價調整，值得列為最優先注意。</w:t>
      </w:r>
    </w:p>
    <w:p>
      <w:pPr>
        <w:spacing w:after="60"/>
        <w:ind w:left="227"/>
      </w:pPr>
      <w:r>
        <w:rPr>
          <w:rFonts w:ascii="Microsoft JhengHei" w:hAnsi="Microsoft JhengHei" w:eastAsia="Microsoft JhengHei" w:cs="Microsoft JhengHei"/>
          <w:b w:val="0"/>
          <w:sz w:val="19"/>
        </w:rPr>
        <w:t>• 降評三理由（原文明列）＝(1) 第2季毛利率降至14%，加計匯兌損失後單季每股虧損0.81元，明顯低於原估的虧損0.46元；(2) 泰國廠 AI 高階產品因量產前最終版本需重新送樣驗證，量產放量時程由第3季遞延至第4季，滿載及單季損平時點同步順延至明年首季；(3) CCL 等原物料下半年仍有續漲壓力，且成本轉嫁存在時間差，預期毛利率回升幅度有限。</w:t>
      </w:r>
    </w:p>
    <w:p>
      <w:pPr>
        <w:spacing w:after="60"/>
        <w:ind w:left="227"/>
      </w:pPr>
      <w:r>
        <w:rPr>
          <w:rFonts w:ascii="Microsoft JhengHei" w:hAnsi="Microsoft JhengHei" w:eastAsia="Microsoft JhengHei" w:cs="Microsoft JhengHei"/>
          <w:b w:val="0"/>
          <w:sz w:val="19"/>
        </w:rPr>
        <w:t>• ★獲利預估大幅下修＝2026年 EPS 由5.42元砍為每股虧損0.4元（由盈轉虧）；2027年 EPS 亦自原估的15.11元降至6.47元，縮水57%。</w:t>
      </w:r>
    </w:p>
    <w:p>
      <w:pPr>
        <w:spacing w:after="60"/>
        <w:ind w:left="227"/>
      </w:pPr>
      <w:r>
        <w:rPr>
          <w:rFonts w:ascii="Microsoft JhengHei" w:hAnsi="Microsoft JhengHei" w:eastAsia="Microsoft JhengHei" w:cs="Microsoft JhengHei"/>
          <w:b w:val="0"/>
          <w:sz w:val="19"/>
        </w:rPr>
        <w:t>• 報告仍保留的多方觀點＝統一投顧強調 AI PCB 高階產能仍屬稀缺，具備產能規模且製程能力跟上的板廠，長線仍有機會重新切入供應鏈。</w:t>
      </w:r>
    </w:p>
    <w:p>
      <w:pPr>
        <w:spacing w:after="60"/>
        <w:ind w:left="227"/>
      </w:pPr>
      <w:r>
        <w:rPr>
          <w:rFonts w:ascii="Microsoft JhengHei" w:hAnsi="Microsoft JhengHei" w:eastAsia="Microsoft JhengHei" w:cs="Microsoft JhengHei"/>
          <w:b w:val="0"/>
          <w:sz w:val="19"/>
        </w:rPr>
        <w:t>• ★可作為 PCB 族群的分水嶺參考＝同一份月報中，能吃到 ASIC AI 訂單（金像電）與能轉嫁成本（健鼎）者獲買進，而製程驗證卡關又無法轉嫁成本者遭降評，訂單能見度與成本轉嫁能力是本波 PCB 選股的兩把尺。</w:t>
      </w:r>
    </w:p>
    <w:p>
      <w:pPr>
        <w:spacing w:after="60" w:before="160"/>
      </w:pPr>
      <w:r>
        <w:rPr>
          <w:rFonts w:ascii="Microsoft JhengHei" w:hAnsi="Microsoft JhengHei" w:eastAsia="Microsoft JhengHei" w:cs="Microsoft JhengHei"/>
          <w:b/>
          <w:color w:val="C00000"/>
          <w:sz w:val="24"/>
        </w:rPr>
        <w:t>三、風險與資訊限制</w:t>
      </w:r>
    </w:p>
    <w:p>
      <w:pPr>
        <w:spacing w:after="60"/>
        <w:ind w:left="227"/>
      </w:pPr>
      <w:r>
        <w:rPr>
          <w:rFonts w:ascii="Microsoft JhengHei" w:hAnsi="Microsoft JhengHei" w:eastAsia="Microsoft JhengHei" w:cs="Microsoft JhengHei"/>
          <w:b w:val="0"/>
          <w:sz w:val="19"/>
        </w:rPr>
        <w:t>• ★數字不一致必須查證＝原文標題與導言載目標價「砍至150元」，內文則載「目標價也下修為130元」，同一篇報導出現兩個數字，本系統一律標註待確認，引用前務必查閱原始研究報告。</w:t>
      </w:r>
    </w:p>
    <w:p>
      <w:pPr>
        <w:spacing w:after="60"/>
        <w:ind w:left="227"/>
      </w:pPr>
      <w:r>
        <w:rPr>
          <w:rFonts w:ascii="Microsoft JhengHei" w:hAnsi="Microsoft JhengHei" w:eastAsia="Microsoft JhengHei" w:cs="Microsoft JhengHei"/>
          <w:b w:val="0"/>
          <w:sz w:val="19"/>
        </w:rPr>
        <w:t>• 原文未載目標價前值，下修幅度無從計算。</w:t>
      </w:r>
    </w:p>
    <w:p>
      <w:pPr>
        <w:spacing w:after="60"/>
        <w:ind w:left="227"/>
      </w:pPr>
      <w:r>
        <w:rPr>
          <w:rFonts w:ascii="Microsoft JhengHei" w:hAnsi="Microsoft JhengHei" w:eastAsia="Microsoft JhengHei" w:cs="Microsoft JhengHei"/>
          <w:b w:val="0"/>
          <w:sz w:val="19"/>
        </w:rPr>
        <w:t>• 2026年由盈轉虧、2027年 EPS 縮水57%為已下修完成的預估，若泰國廠驗證再度延後，仍有續砍空間。</w:t>
      </w:r>
    </w:p>
    <w:p>
      <w:pPr>
        <w:spacing w:after="60"/>
        <w:ind w:left="227"/>
      </w:pPr>
      <w:r>
        <w:rPr>
          <w:rFonts w:ascii="Microsoft JhengHei" w:hAnsi="Microsoft JhengHei" w:eastAsia="Microsoft JhengHei" w:cs="Microsoft JhengHei"/>
          <w:b w:val="0"/>
          <w:sz w:val="19"/>
        </w:rPr>
        <w:t>• 泰國廠「重新送樣驗證」為技術端問題，通過與否及時程均非公司單方可控，第4季量產仍屬預期。</w:t>
      </w:r>
    </w:p>
    <w:p>
      <w:pPr>
        <w:spacing w:after="60"/>
        <w:ind w:left="227"/>
      </w:pPr>
      <w:r>
        <w:rPr>
          <w:rFonts w:ascii="Microsoft JhengHei" w:hAnsi="Microsoft JhengHei" w:eastAsia="Microsoft JhengHei" w:cs="Microsoft JhengHei"/>
          <w:b w:val="0"/>
          <w:sz w:val="19"/>
        </w:rPr>
        <w:t>• 毛利率14%已是實績低點，且原文明載回升幅度有限，短期無明確反轉催化劑。</w:t>
      </w:r>
    </w:p>
    <w:p>
      <w:pPr>
        <w:spacing w:after="60"/>
        <w:ind w:left="227"/>
      </w:pPr>
      <w:r>
        <w:rPr>
          <w:rFonts w:ascii="Microsoft JhengHei" w:hAnsi="Microsoft JhengHei" w:eastAsia="Microsoft JhengHei" w:cs="Microsoft JhengHei"/>
          <w:b w:val="0"/>
          <w:sz w:val="19"/>
        </w:rPr>
        <w:t>• 「長線仍有機會重新切入供應鏈」屬定性安慰性描述，未提供時程、客戶或量化條件。</w:t>
      </w:r>
    </w:p>
    <w:p>
      <w:pPr>
        <w:spacing w:after="60"/>
        <w:ind w:left="227"/>
      </w:pPr>
      <w:r>
        <w:rPr>
          <w:rFonts w:ascii="Microsoft JhengHei" w:hAnsi="Microsoft JhengHei" w:eastAsia="Microsoft JhengHei" w:cs="Microsoft JhengHei"/>
          <w:b w:val="0"/>
          <w:sz w:val="19"/>
        </w:rPr>
        <w:t>• 本則見報於2026/08/14 05:01，屬8/14早盤場次覆蓋缺口，本場次補收錄。</w:t>
      </w:r>
    </w:p>
    <w:p>
      <w:pPr>
        <w:spacing w:after="60" w:before="160"/>
      </w:pPr>
      <w:r>
        <w:rPr>
          <w:rFonts w:ascii="Microsoft JhengHei" w:hAnsi="Microsoft JhengHei" w:eastAsia="Microsoft JhengHei" w:cs="Microsoft JhengHei"/>
          <w:b/>
          <w:color w:val="1F3864"/>
          <w:sz w:val="24"/>
        </w:rPr>
        <w:t>四、來源連結</w:t>
      </w:r>
    </w:p>
    <w:p>
      <w:pPr>
        <w:spacing w:after="20"/>
        <w:ind w:left="227"/>
      </w:pPr>
      <w:r>
        <w:rPr>
          <w:rFonts w:ascii="Microsoft JhengHei" w:hAnsi="Microsoft JhengHei" w:eastAsia="Microsoft JhengHei" w:cs="Microsoft JhengHei"/>
          <w:b w:val="0"/>
          <w:sz w:val="18"/>
        </w:rPr>
        <w:t>• 旺得富理財網 12檔1表評》華通、金像電、健鼎、博智、精成科、定穎、尖點…PCB女王全說了 5檔最推、1家價評雙砍（2026/08/14 05:01）</w:t>
      </w:r>
    </w:p>
    <w:p>
      <w:pPr>
        <w:spacing w:after="80"/>
        <w:ind w:left="454"/>
      </w:pPr>
      <w:r>
        <w:rPr>
          <w:rFonts w:ascii="Microsoft JhengHei" w:hAnsi="Microsoft JhengHei" w:eastAsia="Microsoft JhengHei" w:cs="Microsoft JhengHei"/>
          <w:b w:val="0"/>
          <w:color w:val="1F4E99"/>
          <w:sz w:val="17"/>
        </w:rPr>
        <w:t>https://wantrich.chinatimes.com/news/20260814900004-420101</w:t>
      </w:r>
    </w:p>
    <w:p>
      <w:pPr>
        <w:spacing w:after="80" w:before="200"/>
        <w:jc w:val="center"/>
      </w:pPr>
      <w:r>
        <w:rPr>
          <w:rFonts w:ascii="Microsoft JhengHei" w:hAnsi="Microsoft JhengHei" w:eastAsia="Microsoft JhengHei" w:cs="Microsoft JhengHei"/>
          <w:b w:val="0"/>
          <w:color w:val="808080"/>
          <w:sz w:val="18"/>
        </w:rPr>
        <w:t>本摘要依公開新聞整理，非完整報告。</w:t>
      </w:r>
    </w:p>
    <w:sectPr w:rsidR="00FC693F" w:rsidRPr="0006063C" w:rsidSect="00034616">
      <w:headerReference w:type="default" r:id="rId9"/>
      <w:pgSz w:w="12240" w:h="15840"/>
      <w:pgMar w:top="1077" w:right="1134" w:bottom="107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