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2"/>
        </w:rPr>
        <w:t>宜鼎（5289）｜六家本國投顧 買進 目標價 1,695–2,360 元（國泰證券版 2,080 元）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2026/09/03 早盤場次｜2026/09/03 03:00 工商時報 陳彩玲（權證版，國泰綜合證券供稿）｜產業：半導體－工控記憶體模組／邊緣 AI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評等／目標價摘要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680"/>
        <w:gridCol w:w="1474"/>
        <w:gridCol w:w="1587"/>
        <w:gridCol w:w="1928"/>
        <w:gridCol w:w="2494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類型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192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隱含空間／估值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日期／來源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六家本國投顧（未具名）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1,695 至 2,360 區間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—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2026/09/03｜工商時報權證版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本國投顧（權證版供稿）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內資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2,080（★前值未載）</w:t>
            </w:r>
          </w:p>
        </w:tc>
        <w:tc>
          <w:tcPr>
            <w:tcW w:type="dxa" w:w="1928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★09/02 收盤價未取得，隱含空間待補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2026/09/03｜工商時報權證版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論點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記憶體報價上漲帶動今年營收、獲利大幅成長；公司已向原廠簽訂 LTA 確保後續產能，客群多為網通、工控客戶，較不易因漲價而降低採購量，具備議價能力。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2027 年記憶體供不應求態勢預期延續；子公司安提的工廠自動化、機器人專案放量，優化整體獲利結構。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宜鼎為全球少數具備運算、儲存與記憶體三者整合能力的業者；記憶體漲價帶來的超額毛利正逐季正常化，下半年報價仍具上漲動能，維持買進、目標價上看 2,080 元。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風險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★權證版制式稿，六家投顧名稱與各自目標價未載，2,080 元前值未載，無 EPS 預估與評價基準，資訊層級應打折；★本系統首度收錄該檔，無既有序列可對照。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19"/>
        </w:rPr>
        <w:t>記憶體漲價超額毛利「逐季正常化」意味毛利率高點可能已過；工控／網通需求若轉弱，LTA 反成庫存風險。本則為新聞轉述非報告原文。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4"/>
        </w:rPr>
        <w:t>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https://www.ctee.com.tw/news/20260903700341-430203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/>
          <w:color w:val="808080"/>
          <w:sz w:val="18"/>
        </w:rPr>
        <w:t>本摘要依公開新聞整理，非完整報告。 目標價與評等以新聞轉述為準，「★」為原文未載或待確認項目；隱含空間為本系統以最近收盤價機械回算。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