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76" w:lineRule="auto"/>
      </w:pPr>
      <w:r>
        <w:rPr>
          <w:rFonts w:ascii="Microsoft JhengHei" w:hAnsi="Microsoft JhengHei" w:eastAsia="Microsoft JhengHei" w:cs="Microsoft JhengHei"/>
          <w:b/>
          <w:i w:val="0"/>
          <w:color w:val="112B4D"/>
          <w:sz w:val="34"/>
        </w:rPr>
        <w:t xml:space="preserve">富世達（6805）　大和資本微幅上調至 2,615 元</w:t>
      </w:r>
    </w:p>
    <w:p>
      <w:pPr>
        <w:spacing w:after="120" w:before="0" w:line="27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606A78"/>
          <w:sz w:val="19"/>
        </w:rPr>
        <w:t xml:space="preserve">2026/08/10 早盤場次　｜　產業：伺服器零組件－轉軸／機構件　｜　本系統首次收錄本檔　｜　8/8、8/9 休市</w:t>
      </w:r>
    </w:p>
    <w:p>
      <w:pPr>
        <w:spacing w:after="120" w:before="0" w:line="276" w:lineRule="auto"/>
        <w:pBdr>
          <w:bottom w:val="single" w:sz="10" w:space="1" w:color="112B4D"/>
        </w:pBdr>
      </w:pPr>
    </w:p>
    <w:p>
      <w:pPr>
        <w:spacing w:after="80" w:before="200" w:line="276" w:lineRule="auto"/>
        <w:pBdr>
          <w:bottom w:val="single" w:sz="6" w:space="2" w:color="BFD3E6"/>
        </w:pBdr>
      </w:pPr>
      <w:r>
        <w:rPr>
          <w:rFonts w:ascii="Microsoft JhengHei" w:hAnsi="Microsoft JhengHei" w:eastAsia="Microsoft JhengHei" w:cs="Microsoft JhengHei"/>
          <w:b/>
          <w:i w:val="0"/>
          <w:color w:val="0F4C81"/>
          <w:sz w:val="25"/>
        </w:rPr>
        <w:t xml:space="preserve">評等／目標價摘要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44"/>
        <w:gridCol w:w="1361"/>
        <w:gridCol w:w="1191"/>
        <w:gridCol w:w="1361"/>
        <w:gridCol w:w="4252"/>
      </w:tblGrid>
      <w:tr>
        <w:tc>
          <w:tcPr>
            <w:tcW w:type="dxa" w:w="1644"/>
            <w:shd w:val="clear" w:color="auto" w:fill="112B4D"/>
          </w:tcPr>
          <w:p>
            <w:pPr>
              <w:spacing w:after="20" w:before="2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8"/>
              </w:rPr>
              <w:t xml:space="preserve">券商</w:t>
            </w:r>
          </w:p>
        </w:tc>
        <w:tc>
          <w:tcPr>
            <w:tcW w:type="dxa" w:w="1361"/>
            <w:shd w:val="clear" w:color="auto" w:fill="112B4D"/>
          </w:tcPr>
          <w:p>
            <w:pPr>
              <w:spacing w:after="20" w:before="2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8"/>
              </w:rPr>
              <w:t xml:space="preserve">評等</w:t>
            </w:r>
          </w:p>
        </w:tc>
        <w:tc>
          <w:tcPr>
            <w:tcW w:type="dxa" w:w="1191"/>
            <w:shd w:val="clear" w:color="auto" w:fill="112B4D"/>
          </w:tcPr>
          <w:p>
            <w:pPr>
              <w:spacing w:after="20" w:before="2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8"/>
              </w:rPr>
              <w:t xml:space="preserve">目標價</w:t>
            </w:r>
          </w:p>
        </w:tc>
        <w:tc>
          <w:tcPr>
            <w:tcW w:type="dxa" w:w="1361"/>
            <w:shd w:val="clear" w:color="auto" w:fill="112B4D"/>
          </w:tcPr>
          <w:p>
            <w:pPr>
              <w:spacing w:after="20" w:before="2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8"/>
              </w:rPr>
              <w:t xml:space="preserve">前值</w:t>
            </w:r>
          </w:p>
        </w:tc>
        <w:tc>
          <w:tcPr>
            <w:tcW w:type="dxa" w:w="4252"/>
            <w:shd w:val="clear" w:color="auto" w:fill="112B4D"/>
          </w:tcPr>
          <w:p>
            <w:pPr>
              <w:spacing w:after="20" w:before="2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8"/>
              </w:rPr>
              <w:t xml:space="preserve">評價基礎／隱含空間</w:t>
            </w:r>
          </w:p>
        </w:tc>
      </w:tr>
      <w:tr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 xml:space="preserve">大和資本</w:t>
            </w:r>
          </w:p>
        </w:tc>
        <w:tc>
          <w:tcPr>
            <w:tcW w:type="dxa" w:w="1361"/>
          </w:tcPr>
          <w:p>
            <w:pPr>
              <w:spacing w:after="20" w:before="20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 xml:space="preserve">未載評等</w:t>
            </w:r>
          </w:p>
        </w:tc>
        <w:tc>
          <w:tcPr>
            <w:tcW w:type="dxa" w:w="1191"/>
          </w:tcPr>
          <w:p>
            <w:pPr>
              <w:spacing w:after="20" w:before="20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 xml:space="preserve">2,615</w:t>
            </w:r>
          </w:p>
        </w:tc>
        <w:tc>
          <w:tcPr>
            <w:tcW w:type="dxa" w:w="1361"/>
          </w:tcPr>
          <w:p>
            <w:pPr>
              <w:spacing w:after="20" w:before="20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 xml:space="preserve">2,600</w:t>
            </w:r>
          </w:p>
        </w:tc>
        <w:tc>
          <w:tcPr>
            <w:tcW w:type="dxa" w:w="4252"/>
          </w:tcPr>
          <w:p>
            <w:pPr>
              <w:spacing w:after="20" w:before="20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 xml:space="preserve">僅上調 0.6%（15 元）。未揭露 EPS 與本益比。</w:t>
            </w:r>
          </w:p>
        </w:tc>
      </w:tr>
    </w:tbl>
    <w:p>
      <w:pPr>
        <w:spacing w:after="0" w:before="0" w:line="276" w:lineRule="auto"/>
      </w:pPr>
    </w:p>
    <w:p>
      <w:pPr>
        <w:spacing w:after="80" w:before="200" w:line="276" w:lineRule="auto"/>
        <w:pBdr>
          <w:bottom w:val="single" w:sz="6" w:space="2" w:color="BFD3E6"/>
        </w:pBdr>
      </w:pPr>
      <w:r>
        <w:rPr>
          <w:rFonts w:ascii="Microsoft JhengHei" w:hAnsi="Microsoft JhengHei" w:eastAsia="Microsoft JhengHei" w:cs="Microsoft JhengHei"/>
          <w:b/>
          <w:i w:val="0"/>
          <w:color w:val="0F4C81"/>
          <w:sz w:val="25"/>
        </w:rPr>
        <w:t xml:space="preserve">論點</w:t>
      </w:r>
    </w:p>
    <w:p>
      <w:pPr>
        <w:spacing w:after="60" w:before="0" w:line="276" w:lineRule="auto"/>
        <w:ind w:left="312" w:hanging="198"/>
      </w:pPr>
      <w:r>
        <w:rPr>
          <w:rFonts w:ascii="Microsoft JhengHei" w:hAnsi="Microsoft JhengHei" w:eastAsia="Microsoft JhengHei" w:cs="Microsoft JhengHei"/>
          <w:b w:val="0"/>
          <w:i w:val="0"/>
          <w:sz w:val="20"/>
        </w:rPr>
        <w:t xml:space="preserve">• 大和資本上調理由僅一句：受惠伺服器需求強勁。</w:t>
      </w:r>
    </w:p>
    <w:p>
      <w:pPr>
        <w:spacing w:after="60" w:before="0" w:line="276" w:lineRule="auto"/>
        <w:ind w:left="312" w:hanging="198"/>
      </w:pPr>
      <w:r>
        <w:rPr>
          <w:rFonts w:ascii="Microsoft JhengHei" w:hAnsi="Microsoft JhengHei" w:eastAsia="Microsoft JhengHei" w:cs="Microsoft JhengHei"/>
          <w:b w:val="0"/>
          <w:i w:val="0"/>
          <w:sz w:val="20"/>
        </w:rPr>
        <w:t xml:space="preserve">• 調幅 0.6% 在本場次 13 則中為最小，實質意義接近「維持」而非「調升」，不宜視為方向性訊號。</w:t>
      </w:r>
    </w:p>
    <w:p>
      <w:pPr>
        <w:spacing w:after="60" w:before="0" w:line="276" w:lineRule="auto"/>
        <w:ind w:left="312" w:hanging="198"/>
      </w:pPr>
      <w:r>
        <w:rPr>
          <w:rFonts w:ascii="Microsoft JhengHei" w:hAnsi="Microsoft JhengHei" w:eastAsia="Microsoft JhengHei" w:cs="Microsoft JhengHei"/>
          <w:b w:val="0"/>
          <w:i w:val="0"/>
          <w:sz w:val="20"/>
        </w:rPr>
        <w:t xml:space="preserve">• 本檔為本系統首次收錄，尚無歷史目標價序列可供比較，建議後續場次持續追蹤以建立基準。</w:t>
      </w:r>
    </w:p>
    <w:p>
      <w:pPr>
        <w:spacing w:after="80" w:before="200" w:line="276" w:lineRule="auto"/>
        <w:pBdr>
          <w:bottom w:val="single" w:sz="6" w:space="2" w:color="BFD3E6"/>
        </w:pBdr>
      </w:pPr>
      <w:r>
        <w:rPr>
          <w:rFonts w:ascii="Microsoft JhengHei" w:hAnsi="Microsoft JhengHei" w:eastAsia="Microsoft JhengHei" w:cs="Microsoft JhengHei"/>
          <w:b/>
          <w:i w:val="0"/>
          <w:color w:val="0F4C81"/>
          <w:sz w:val="25"/>
        </w:rPr>
        <w:t xml:space="preserve">風險與疑點</w:t>
      </w:r>
    </w:p>
    <w:p>
      <w:pPr>
        <w:spacing w:after="60" w:before="0" w:line="276" w:lineRule="auto"/>
        <w:ind w:left="312" w:hanging="198"/>
      </w:pPr>
      <w:r>
        <w:rPr>
          <w:rFonts w:ascii="Microsoft JhengHei" w:hAnsi="Microsoft JhengHei" w:eastAsia="Microsoft JhengHei" w:cs="Microsoft JhengHei"/>
          <w:b w:val="0"/>
          <w:i w:val="0"/>
          <w:sz w:val="20"/>
        </w:rPr>
        <w:t xml:space="preserve">• 調幅僅 0.58%，訊號意義薄弱；媒體以「上修目標價潮」框架呈現，容易高估此則的資訊含量。</w:t>
      </w:r>
    </w:p>
    <w:p>
      <w:pPr>
        <w:spacing w:after="60" w:before="0" w:line="276" w:lineRule="auto"/>
        <w:ind w:left="312" w:hanging="198"/>
      </w:pPr>
      <w:r>
        <w:rPr>
          <w:rFonts w:ascii="Microsoft JhengHei" w:hAnsi="Microsoft JhengHei" w:eastAsia="Microsoft JhengHei" w:cs="Microsoft JhengHei"/>
          <w:b w:val="0"/>
          <w:i w:val="0"/>
          <w:sz w:val="20"/>
        </w:rPr>
        <w:t xml:space="preserve">• 未載評等文字、未揭露 EPS 與本益比、未載報告出具日期，三項關鍵資訊全缺。</w:t>
      </w:r>
    </w:p>
    <w:p>
      <w:pPr>
        <w:spacing w:after="60" w:before="0" w:line="276" w:lineRule="auto"/>
        <w:ind w:left="312" w:hanging="198"/>
      </w:pPr>
      <w:r>
        <w:rPr>
          <w:rFonts w:ascii="Microsoft JhengHei" w:hAnsi="Microsoft JhengHei" w:eastAsia="Microsoft JhengHei" w:cs="Microsoft JhengHei"/>
          <w:b w:val="0"/>
          <w:i w:val="0"/>
          <w:sz w:val="20"/>
        </w:rPr>
        <w:t xml:space="preserve">• 論點僅「伺服器需求強勁」一句，無公司層級的量化佐證（營收、毛利率、訂單能見度皆未提及）。</w:t>
      </w:r>
    </w:p>
    <w:p>
      <w:pPr>
        <w:spacing w:after="60" w:before="0" w:line="276" w:lineRule="auto"/>
        <w:ind w:left="312" w:hanging="198"/>
      </w:pPr>
      <w:r>
        <w:rPr>
          <w:rFonts w:ascii="Microsoft JhengHei" w:hAnsi="Microsoft JhengHei" w:eastAsia="Microsoft JhengHei" w:cs="Microsoft JhengHei"/>
          <w:b w:val="0"/>
          <w:i w:val="0"/>
          <w:sz w:val="20"/>
        </w:rPr>
        <w:t xml:space="preserve">• 原文未提供近期股價，隱含空間無法計算。</w:t>
      </w:r>
    </w:p>
    <w:p>
      <w:pPr>
        <w:spacing w:after="80" w:before="200" w:line="276" w:lineRule="auto"/>
        <w:pBdr>
          <w:bottom w:val="single" w:sz="6" w:space="2" w:color="BFD3E6"/>
        </w:pBdr>
      </w:pPr>
      <w:r>
        <w:rPr>
          <w:rFonts w:ascii="Microsoft JhengHei" w:hAnsi="Microsoft JhengHei" w:eastAsia="Microsoft JhengHei" w:cs="Microsoft JhengHei"/>
          <w:b/>
          <w:i w:val="0"/>
          <w:color w:val="0F4C81"/>
          <w:sz w:val="25"/>
        </w:rPr>
        <w:t xml:space="preserve">來源連結</w:t>
      </w:r>
    </w:p>
    <w:p>
      <w:pPr>
        <w:spacing w:after="40" w:line="264" w:lineRule="auto"/>
        <w:ind w:left="312" w:hanging="198"/>
      </w:pPr>
      <w:r>
        <w:rPr>
          <w:rFonts w:ascii="Microsoft JhengHei" w:hAnsi="Microsoft JhengHei" w:eastAsia="Microsoft JhengHei" w:cs="Microsoft JhengHei"/>
          <w:b w:val="0"/>
          <w:i w:val="0"/>
          <w:sz w:val="18"/>
        </w:rPr>
        <w:t xml:space="preserve">• 經濟日報 8/9 22:13　高價股外資上修目標價潮（即時版）　</w:t>
      </w:r>
      <w:hyperlink r:id="rId100">
        <w:r>
          <w:rPr>
            <w:rFonts w:ascii="Microsoft JhengHei" w:hAnsi="Microsoft JhengHei" w:eastAsia="Microsoft JhengHei" w:cs="Microsoft JhengHei"/>
            <w:sz w:val="17"/>
            <w:color w:val="0563C1"/>
            <w:u w:val="single"/>
          </w:rPr>
          <w:t xml:space="preserve">https://money.udn.com/money/story/5607/9680773</w:t>
        </w:r>
      </w:hyperlink>
    </w:p>
    <w:p>
      <w:pPr>
        <w:spacing w:after="40" w:line="264" w:lineRule="auto"/>
        <w:ind w:left="312" w:hanging="198"/>
      </w:pPr>
      <w:r>
        <w:rPr>
          <w:rFonts w:ascii="Microsoft JhengHei" w:hAnsi="Microsoft JhengHei" w:eastAsia="Microsoft JhengHei" w:cs="Microsoft JhengHei"/>
          <w:b w:val="0"/>
          <w:i w:val="0"/>
          <w:sz w:val="18"/>
        </w:rPr>
        <w:t xml:space="preserve">• 經濟日報 8/10 01:28　日報版　</w:t>
      </w:r>
      <w:hyperlink r:id="rId101">
        <w:r>
          <w:rPr>
            <w:rFonts w:ascii="Microsoft JhengHei" w:hAnsi="Microsoft JhengHei" w:eastAsia="Microsoft JhengHei" w:cs="Microsoft JhengHei"/>
            <w:sz w:val="17"/>
            <w:color w:val="0563C1"/>
            <w:u w:val="single"/>
          </w:rPr>
          <w:t xml:space="preserve">https://money.udn.com/money/story/5607/9680852</w:t>
        </w:r>
      </w:hyperlink>
    </w:p>
    <w:p>
      <w:pPr>
        <w:spacing w:after="80" w:before="160" w:line="27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808080"/>
          <w:sz w:val="17"/>
        </w:rPr>
        <w:t xml:space="preserve">本摘要依公開新聞整理，非完整報告。</w:t>
      </w:r>
    </w:p>
    <w:sectPr>
      <w:headerReference w:type="default" r:id="rId9001"/>
      <w:pgSz w:w="12240" w:h="15840"/>
      <w:pgMar w:top="1077" w:right="1077" w:bottom="96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setn.com/news/1886275" TargetMode="External"/><Relationship Id="rId10" Type="http://schemas.openxmlformats.org/officeDocument/2006/relationships/hyperlink" Target="https://www.setn.com/news/1886261" TargetMode="External"/><Relationship Id="rId11" Type="http://schemas.openxmlformats.org/officeDocument/2006/relationships/hyperlink" Target="https://www.ftnn.com.tw/news/568304" TargetMode="External"/><Relationship Id="rId12" Type="http://schemas.openxmlformats.org/officeDocument/2006/relationships/hyperlink" Target="https://www.ftnn.com.tw/news/568296" TargetMode="External"/><Relationship Id="rId13" Type="http://schemas.openxmlformats.org/officeDocument/2006/relationships/hyperlink" Target="https://www.ftnn.com.tw/news/568312" TargetMode="External"/><Relationship Id="rId14" Type="http://schemas.openxmlformats.org/officeDocument/2006/relationships/hyperlink" Target="https://www.ftnn.com.tw/news/568314" TargetMode="External"/><Relationship Id="rId15" Type="http://schemas.openxmlformats.org/officeDocument/2006/relationships/hyperlink" Target="https://www.ftnn.com.tw/news/568294" TargetMode="External"/><Relationship Id="rId16" Type="http://schemas.openxmlformats.org/officeDocument/2006/relationships/hyperlink" Target="https://www.ftnn.com.tw/news/568278" TargetMode="External"/><Relationship Id="rId17" Type="http://schemas.openxmlformats.org/officeDocument/2006/relationships/hyperlink" Target="https://www.setn.com/news/1886206" TargetMode="External"/><Relationship Id="rId18" Type="http://schemas.openxmlformats.org/officeDocument/2006/relationships/hyperlink" Target="https://www.ftnn.com.tw/news/568253" TargetMode="External"/><Relationship Id="rId19" Type="http://schemas.openxmlformats.org/officeDocument/2006/relationships/hyperlink" Target="https://money.udn.com/money/story/5607/9679551" TargetMode="External"/><Relationship Id="rId20" Type="http://schemas.openxmlformats.org/officeDocument/2006/relationships/hyperlink" Target="https://money.udn.com/money/story/5607/9679553" TargetMode="External"/><Relationship Id="rId21" Type="http://schemas.openxmlformats.org/officeDocument/2006/relationships/hyperlink" Target="https://www.ctee.com.tw/news/20260809700186-439903" TargetMode="External"/><Relationship Id="rId9001" Type="http://schemas.openxmlformats.org/officeDocument/2006/relationships/header" Target="header1.xml"/><Relationship Id="rId100" Type="http://schemas.openxmlformats.org/officeDocument/2006/relationships/hyperlink" Target="https://money.udn.com/money/story/5607/9680773" TargetMode="External"/><Relationship Id="rId101" Type="http://schemas.openxmlformats.org/officeDocument/2006/relationships/hyperlink" Target="https://money.udn.com/money/story/5607/968085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