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富邦媒（8454）券商觀點摘要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2026 / 08 / 06　早盤場次　｜　資料來源：CMoney 券商評等彙整</w:t>
      </w:r>
    </w:p>
    <w:p>
      <w:pPr>
        <w:spacing w:after="14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404040"/>
          <w:sz w:val="20"/>
          <w:szCs w:val="20"/>
        </w:rPr>
        <w:t xml:space="preserve">產業分類：電子商務／零售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一、評等與目標價摘要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1200"/>
        <w:gridCol w:w="1200"/>
        <w:gridCol w:w="4100"/>
      </w:tblGrid>
      <w:tr>
        <w:trPr>
          <w:tblHeader/>
        </w:trPr>
        <w:tc>
          <w:tcPr>
            <w:tcW w:type="dxa" w:w="19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評等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目標價(新)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目標價(舊)</w:t>
            </w:r>
          </w:p>
        </w:tc>
        <w:tc>
          <w:tcPr>
            <w:tcW w:type="dxa" w:w="41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8"/>
                <w:szCs w:val="18"/>
              </w:rPr>
              <w:t xml:space="preserve">評價基準／備註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券商 A（未具名）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275 ～ 285 元</w:t>
              <w:br/>
              <w:t xml:space="preserve">（兩家合計區間）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 年營收估 1,120.61 億～1,124.91 億元</w:t>
            </w:r>
          </w:p>
        </w:tc>
      </w:tr>
      <w:tr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券商 B（未具名）</w:t>
            </w:r>
          </w:p>
        </w:tc>
        <w:tc>
          <w:tcPr>
            <w:tcW w:type="dxa" w:w="1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中立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同上區間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未揭露</w:t>
            </w:r>
          </w:p>
        </w:tc>
        <w:tc>
          <w:tcPr>
            <w:tcW w:type="dxa" w:w="4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兩家評等分歧（1 買進、1 中立）</w:t>
            </w:r>
          </w:p>
        </w:tc>
      </w:tr>
    </w:tbl>
    <w:p>
      <w:pPr>
        <w:spacing w:after="60"/>
        <w:jc w:val="left"/>
      </w:pPr>
    </w:p>
    <w:p>
      <w:pPr>
        <w:spacing w:after="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7F7F7F"/>
          <w:sz w:val="18"/>
          <w:szCs w:val="18"/>
        </w:rPr>
        <w:t xml:space="preserve">註：富邦媒為本追蹤系統首次收錄。原文僅給合計目標價區間 275～285 元，未逐家對應；EPS 預估原文截斷，待確認。兩家券商名稱與內外資屬性均未揭露。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二、投資論點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・兩家券商評等出現分歧：1 家買進、1 家中立——這在本場次 15 檔個股中是唯一評等不一致者，值得留意。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・目標價區間僅 275～285 元，寬度約 3.6%，代表兩家對合理價位的看法其實非常接近，分歧在「是否值得買進」而非「值多少錢」。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・2026 年度營收預估落在 1,120.61 億～1,124.91 億元之間，兩家差距僅 0.4%，營收共識高度一致。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・營收看法一致、評等卻分歧，通常反映的是對獲利率或成長率而非規模的判斷差異；EPS 數字原文截斷，無法進一步比對。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三、風險與觀察重點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・評等分歧（買進 vs 中立）本身即是明確的觀望訊號。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・EPS 預估原文截斷，缺乏最關鍵的獲利數字，無法檢驗 275～285 元的評價合理性。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・兩家券商名稱、屬性與各自目標價均未揭露。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・首次收錄，無歷史目標價可對照。</w:t>
      </w:r>
    </w:p>
    <w:p>
      <w:pPr>
        <w:spacing w:after="7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1"/>
          <w:szCs w:val="21"/>
        </w:rPr>
        <w:t xml:space="preserve">・電商產業與本輪 AI 行情無關，資金面缺乏題材支撐；營收年增率原文未提供，成長性待確認。</w:t>
      </w:r>
    </w:p>
    <w:p>
      <w:pPr>
        <w:pBdr>
          <w:bottom w:val="single" w:color="1F3864" w:sz="6"/>
        </w:pBdr>
        <w:spacing w:after="100" w:before="22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4"/>
          <w:szCs w:val="24"/>
        </w:rPr>
        <w:t xml:space="preserve">四、來源連結</w:t>
      </w:r>
    </w:p>
    <w:p>
      <w:pPr>
        <w:spacing w:after="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8"/>
          <w:szCs w:val="18"/>
        </w:rPr>
        <w:t xml:space="preserve">・CMoney 8/5 18:50｜券商評等報告彙整</w:t>
      </w:r>
    </w:p>
    <w:p>
      <w:pPr>
        <w:spacing w:after="80"/>
        <w:ind w:left="42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563C1"/>
          <w:sz w:val="16"/>
          <w:szCs w:val="16"/>
          <w:u w:val="single"/>
        </w:rPr>
        <w:t xml:space="preserve">https://cmnews.com.tw/tag/%E5%88%B8%E5%95%86%E8%A9%95%E7%AD%89%E5%A0%B1%E5%91%8A%E5%BD%99%E6%95%B4</w:t>
      </w:r>
    </w:p>
    <w:p>
      <w:pPr>
        <w:spacing w:after="80" w:before="20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808080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2026-08-05T00:25:17.462Z</dcterms:created>
  <dcterms:modified xsi:type="dcterms:W3CDTF">2026-08-05T00:25:17.463Z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