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尖點(8021)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尖點(8021)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600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600（維持）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HLC 誘發鑽針需求、獲利三級跳，維持目標價600元。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論述主軸＝HLC（高階 PCB 製程）放量直接誘發鑽針耗材需求，屬「賣鏟子」的間接受惠模式，需求隨 AI PCB 產能開出而放大。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原文載「獲利三級跳」，為本次月報中對獲利成長描述最強烈的一檔。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★與本系統既有紀錄完全撞號＝2026/07/23 已收錄本土老牌投顧買進600元（2026-28年 EPS 估9.9／20／34.6元，2027年×30倍 PE），研判為同一家（統一投顧）的延續，目標價三週未動。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報告背景＝PCB 中下游7月營收雙位數成長，平均月增率14.1%優於預期，主因 AWS Trn3 加速出貨、800G Switch 需求同步強勁、代理 AI 架構使通用 Server 需求超乎預期，及 Google TPUv8 開始放量出貨。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第3季展望＝AI 新平台全面啟動拉貨、800G Switch 量增，Apple 新品及 SpaceX 衛星需求下半年放量，預期本季 PCB 下游營收季增率可達15%~20%；8月營收預期月增3%~6%。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600元為維持、且已維持三週未調整，本次不構成新的方向性訊號。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本則未重新揭露 EPS 與本益比，須沿用7/23紀錄的9.9／20／34.6元與30倍 PE 假設，該假設是否仍成立原文未交代。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鑽針為耗材，單價低、議價能力弱於板廠本身，且需求落後於板廠產能開出時點。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原文對尖點的著墨僅一句，資訊完整度為本次月報5檔買進名單中最低。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★本則見報時間為2026/08/14 05:01，嚴格說落在8/14早盤場次窗口（8/13 19:10~8/14 08:10）內卻未被收錄，屬前一場次覆蓋缺口，已於本場次補齊。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原文自載族群風險＝零組件漲價將影響消費性電子產品；CCL 等原物料下半年仍有續漲壓力，成本轉嫁存在時間差。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本則為新聞轉述券商研究報告、非報告原文，未載報告出具日期。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