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2"/>
        </w:rPr>
        <w:t>川湖（2059）　外資三家同日出報告　目標價 10,000 ~ 15,000 元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8"/>
        </w:rPr>
        <w:t>AI伺服器機構件－滑軌　｜　報告日 2026/08/07（8/8 見報）　｜　旺來研究報告自動彙整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一、評等／目標價摘要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9C2CE"/>
          <w:left w:val="single" w:sz="4" w:space="0" w:color="B9C2CE"/>
          <w:bottom w:val="single" w:sz="4" w:space="0" w:color="B9C2CE"/>
          <w:right w:val="single" w:sz="4" w:space="0" w:color="B9C2CE"/>
          <w:insideH w:val="single" w:sz="4" w:space="0" w:color="B9C2CE"/>
          <w:insideV w:val="single" w:sz="4" w:space="0" w:color="B9C2C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88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864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584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296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舊目標價</w:t>
            </w:r>
          </w:p>
        </w:tc>
        <w:tc>
          <w:tcPr>
            <w:tcW w:type="dxa" w:w="1368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新目標價</w:t>
            </w:r>
          </w:p>
        </w:tc>
        <w:tc>
          <w:tcPr>
            <w:tcW w:type="dxa" w:w="1656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調幅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大和資本證券（分析師鄭盛元）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外資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買進（重申）</w:t>
            </w:r>
          </w:p>
        </w:tc>
        <w:tc>
          <w:tcPr>
            <w:tcW w:type="dxa" w:w="1296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5,888</w:t>
            </w:r>
          </w:p>
        </w:tc>
        <w:tc>
          <w:tcPr>
            <w:tcW w:type="dxa" w:w="136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15,000</w:t>
            </w:r>
          </w:p>
        </w:tc>
        <w:tc>
          <w:tcPr>
            <w:tcW w:type="dxa" w:w="1656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B02A2A"/>
                <w:sz w:val="18"/>
              </w:rPr>
              <w:t>上調 +154.7%</w:t>
            </w:r>
          </w:p>
        </w:tc>
      </w:tr>
      <w:tr>
        <w:tc>
          <w:tcPr>
            <w:tcW w:type="dxa" w:w="2880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瑞銀證券</w:t>
            </w:r>
          </w:p>
        </w:tc>
        <w:tc>
          <w:tcPr>
            <w:tcW w:type="dxa" w:w="864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外資</w:t>
            </w:r>
          </w:p>
        </w:tc>
        <w:tc>
          <w:tcPr>
            <w:tcW w:type="dxa" w:w="1584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買進（重申）</w:t>
            </w:r>
          </w:p>
        </w:tc>
        <w:tc>
          <w:tcPr>
            <w:tcW w:type="dxa" w:w="1296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8,950</w:t>
            </w:r>
          </w:p>
        </w:tc>
        <w:tc>
          <w:tcPr>
            <w:tcW w:type="dxa" w:w="1368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14,000</w:t>
            </w:r>
          </w:p>
        </w:tc>
        <w:tc>
          <w:tcPr>
            <w:tcW w:type="dxa" w:w="1656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B02A2A"/>
                <w:sz w:val="18"/>
              </w:rPr>
              <w:t>上調 +56.4%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摩根士丹利（大摩）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外資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優於大盤（重申）</w:t>
            </w:r>
          </w:p>
        </w:tc>
        <w:tc>
          <w:tcPr>
            <w:tcW w:type="dxa" w:w="1296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10,000</w:t>
            </w:r>
          </w:p>
        </w:tc>
        <w:tc>
          <w:tcPr>
            <w:tcW w:type="dxa" w:w="136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10,000</w:t>
            </w:r>
          </w:p>
        </w:tc>
        <w:tc>
          <w:tcPr>
            <w:tcW w:type="dxa" w:w="1656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維持（未調整）</w:t>
            </w:r>
          </w:p>
        </w:tc>
      </w:tr>
      <w:tr>
        <w:tc>
          <w:tcPr>
            <w:tcW w:type="dxa" w:w="2880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FactSet 共識（8/7，前次收錄）</w:t>
            </w:r>
          </w:p>
        </w:tc>
        <w:tc>
          <w:tcPr>
            <w:tcW w:type="dxa" w:w="864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外資</w:t>
            </w:r>
          </w:p>
        </w:tc>
        <w:tc>
          <w:tcPr>
            <w:tcW w:type="dxa" w:w="1584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共識（未列評等）</w:t>
            </w:r>
          </w:p>
        </w:tc>
        <w:tc>
          <w:tcPr>
            <w:tcW w:type="dxa" w:w="1296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368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9,970</w:t>
            </w:r>
          </w:p>
        </w:tc>
        <w:tc>
          <w:tcPr>
            <w:tcW w:type="dxa" w:w="1656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參考值</w:t>
            </w:r>
          </w:p>
        </w:tc>
      </w:tr>
    </w:tbl>
    <w:p>
      <w:pPr>
        <w:spacing w:after="120" w:before="80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8"/>
        </w:rPr>
        <w:t>8/7 收盤 11,110 元（跳空漲停，大漲 1,010 元，創歷史天價）。相對現價：大和 +35.0%、瑞銀 +26.0%、大摩 −10.0%、FactSet 共識 −10.3%。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事件觸發：半年報與 8/7 法說會接連報喜，Q2 毛利率 87.42%（高於輝達），三家外資於同日火速出具最新報告，均維持正向評等並同步調升獲利預估。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大和資本（目標價最高 15,000 元）：看好川湖持續鞏固伺服器滑軌市場領導地位。受惠新一代 CPU 平台導入及產品組合持續優化，將通用型伺服器滑軌平均銷售單價（ASP）由 30~40 美元上調至 60~70 美元，並據此把 2026~2028 年毛利率預估由原先約 70% 大幅調升至 85%~90%。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大和資本評價基礎：為反映 Q2 優於預期的營運表現，同步大幅上調 2026~2027 年 EPS 預估；考量未來四季獲利成長動能強勁，將評價基礎由 30 倍本益比調升至 36 倍，高於過去三年 9~23 倍的歷史區間。目標價由 5,888 元上調至 15,000 元，調幅 154.7%，重申「買進」。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瑞銀（14,000 元）：將 2026~2028 年 EPS 預估分別上調 66%、73%、75%。瑞銀先前強調，從 Hopper HGX 到 Vera Rubin 機架，滑軌單機價值可望提升逾一倍；隨著更多採用專用滑軌的客製化機架級系統陸續推出，未來成長空間可望進一步擴大。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大摩（10,000 元）：重申「優於大盤」，但目標價維持不動，為三家中唯一未調升者。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公司端說法（8/7 法說會，執行副總王俊強）：目前訂單很滿，下半年業績可期，能見度看到 2029 年；強調川湖是「最純的 AI 股及 IP 股」；美國休士頓新廠 9 月量產，並提前 1.5 年至 2 年啟動百億擴產計畫。高毛利率來自 25 年產業循環洗禮的技術積累。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三、風險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評價倍數風險：大和資本的 36 倍本益比高於過去三年 9~23 倍歷史區間上緣。目標價的漲幅有相當比重來自評價重估而非純獲利上修，一旦成長軌跡不如預期，下修彈性大於一般個股。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ASP 假設風險：通用型伺服器滑軌 ASP 由 30~40 美元上調至 60~70 美元，近乎翻倍，屬強假設，須以後續季度 ASP 與產品組合實績驗證。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毛利率假設風險：2026~2028 年毛利率由約 70% 上調至 85%~90%，是本次目標價大幅上修的主要來源。Q2 已達 87.42%，續維持在此水準的難度與客戶議價、產品組合變化高度相關。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共識分歧風險：三家目標價 10,000~15,000 元，區間寬度達 50%，同日、同評等方向卻分歧至此，代表市場對毛利率與評價假設尚未形成共識。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股價已跑在前面：8/7 收 11,110 元已高於大摩目標價（10,000 元）與 8/7 FactSet 共識（9,970 元），短線追價須留意評價支撐不足。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原文未揭露：大和與瑞銀的具體 EPS 絕對值、大摩的獲利預估調整幅度、以及三家的產能與出貨量假設，新聞均未載明，無法交叉檢驗。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[經濟日報／聯合新聞網] 外資按讚川湖 目標價15,000（2026-08-08 00:29　記者崔馨方）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https://udn.com/news/story/7252/9678253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[經濟日報／聯合新聞網] 川湖訂單能見度看到2029 百億擴產計畫提前啟動（2026-08-08 00:34）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https://udn.com/news/story/7252/9678244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[經濟日報／聯合新聞網] 最純AI股 川湖高毛利證明實力（2026-08-08 00:30）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https://udn.com/news/story/7252/9678250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[經濟日報] 川湖漲停攻上11,110元！瑞銀喊上14,000元（2026-08-07）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https://money.udn.com/money/story/5710/9676769</w:t>
      </w:r>
    </w:p>
    <w:p>
      <w:pPr>
        <w:spacing w:after="40" w:before="0"/>
        <w:pBdr>
          <w:bottom w:val="single" w:sz="6" w:space="1" w:color="C7CFD9"/>
        </w:pBdr>
      </w:pPr>
    </w:p>
    <w:p>
      <w:pPr>
        <w:spacing w:after="0" w:before="60"/>
      </w:pPr>
      <w:r>
        <w:rPr>
          <w:rFonts w:ascii="Microsoft JhengHei" w:hAnsi="Microsoft JhengHei" w:eastAsia="Microsoft JhengHei" w:cs="Microsoft JhengHei"/>
          <w:b w:val="0"/>
          <w:i w:val="0"/>
          <w:color w:val="88909C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