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/>
          <w:b/>
          <w:color w:val="1F3B63"/>
          <w:sz w:val="30"/>
        </w:rPr>
        <w:t>川湖（2059）券商觀點摘要　2026/08/10 盤後</w:t>
      </w:r>
    </w:p>
    <w:p>
      <w:pPr>
        <w:spacing w:after="180" w:before="0"/>
        <w:jc w:val="center"/>
      </w:pPr>
      <w:r>
        <w:rPr>
          <w:rFonts w:ascii="Microsoft JhengHei" w:hAnsi="Microsoft JhengHei" w:eastAsia="Microsoft JhengHei"/>
          <w:b w:val="0"/>
          <w:color w:val="606060"/>
          <w:sz w:val="19"/>
        </w:rPr>
        <w:t>AI 伺服器機構件－滑軌／資料來源：工商時報 2026/08/10（記者張漢綺）</w:t>
      </w:r>
    </w:p>
    <w:p>
      <w:pPr>
        <w:spacing w:after="80" w:before="0"/>
      </w:pPr>
      <w:r>
        <w:rPr>
          <w:rFonts w:ascii="Microsoft JhengHei" w:hAnsi="Microsoft JhengHei" w:eastAsia="Microsoft JhengHei"/>
          <w:b/>
          <w:color w:val="1F3B63"/>
          <w:sz w:val="26"/>
        </w:rPr>
        <w:t>一、評等與目標價摘要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587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195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澳系外資（未具名）</w:t>
            </w:r>
          </w:p>
        </w:tc>
        <w:tc>
          <w:tcPr>
            <w:tcW w:type="dxa" w:w="4195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美系外資（未具名）</w:t>
            </w:r>
          </w:p>
        </w:tc>
      </w:tr>
      <w:tr>
        <w:tc>
          <w:tcPr>
            <w:tcW w:type="dxa" w:w="158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投資評等</w:t>
            </w:r>
          </w:p>
        </w:tc>
        <w:tc>
          <w:tcPr>
            <w:tcW w:type="dxa" w:w="4195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優於大盤表現</w:t>
            </w:r>
          </w:p>
        </w:tc>
        <w:tc>
          <w:tcPr>
            <w:tcW w:type="dxa" w:w="4195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建議加碼</w:t>
            </w:r>
          </w:p>
        </w:tc>
      </w:tr>
      <w:tr>
        <w:tc>
          <w:tcPr>
            <w:tcW w:type="dxa" w:w="1587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目標價（新）</w:t>
            </w:r>
          </w:p>
        </w:tc>
        <w:tc>
          <w:tcPr>
            <w:tcW w:type="dxa" w:w="4195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16,500 元</w:t>
            </w:r>
          </w:p>
        </w:tc>
        <w:tc>
          <w:tcPr>
            <w:tcW w:type="dxa" w:w="4195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15,000 元</w:t>
            </w:r>
          </w:p>
        </w:tc>
      </w:tr>
      <w:tr>
        <w:tc>
          <w:tcPr>
            <w:tcW w:type="dxa" w:w="158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目標價（前值）</w:t>
            </w:r>
          </w:p>
        </w:tc>
        <w:tc>
          <w:tcPr>
            <w:tcW w:type="dxa" w:w="4195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未揭露</w:t>
            </w:r>
          </w:p>
        </w:tc>
        <w:tc>
          <w:tcPr>
            <w:tcW w:type="dxa" w:w="4195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10,000 元</w:t>
            </w:r>
          </w:p>
        </w:tc>
      </w:tr>
      <w:tr>
        <w:tc>
          <w:tcPr>
            <w:tcW w:type="dxa" w:w="1587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調幅</w:t>
            </w:r>
          </w:p>
        </w:tc>
        <w:tc>
          <w:tcPr>
            <w:tcW w:type="dxa" w:w="4195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未揭露（研判為大幅調升）</w:t>
            </w:r>
          </w:p>
        </w:tc>
        <w:tc>
          <w:tcPr>
            <w:tcW w:type="dxa" w:w="4195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＋50.0%</w:t>
            </w:r>
          </w:p>
        </w:tc>
      </w:tr>
      <w:tr>
        <w:tc>
          <w:tcPr>
            <w:tcW w:type="dxa" w:w="158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EPS 預估</w:t>
            </w:r>
          </w:p>
        </w:tc>
        <w:tc>
          <w:tcPr>
            <w:tcW w:type="dxa" w:w="4195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2026／2027／2028 年 371.1／584.9／809.1 元（分別上調 55%／66%／76%）</w:t>
            </w:r>
          </w:p>
        </w:tc>
        <w:tc>
          <w:tcPr>
            <w:tcW w:type="dxa" w:w="4195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未揭露</w:t>
            </w:r>
          </w:p>
        </w:tc>
      </w:tr>
      <w:tr>
        <w:tc>
          <w:tcPr>
            <w:tcW w:type="dxa" w:w="1587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本益比</w:t>
            </w:r>
          </w:p>
        </w:tc>
        <w:tc>
          <w:tcPr>
            <w:tcW w:type="dxa" w:w="4195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未揭露</w:t>
            </w:r>
          </w:p>
        </w:tc>
        <w:tc>
          <w:tcPr>
            <w:tcW w:type="dxa" w:w="4195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未揭露</w:t>
            </w:r>
          </w:p>
        </w:tc>
      </w:tr>
      <w:tr>
        <w:tc>
          <w:tcPr>
            <w:tcW w:type="dxa" w:w="158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報告出具日</w:t>
            </w:r>
          </w:p>
        </w:tc>
        <w:tc>
          <w:tcPr>
            <w:tcW w:type="dxa" w:w="4195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未載（見報日 2026/08/10）</w:t>
            </w:r>
          </w:p>
        </w:tc>
        <w:tc>
          <w:tcPr>
            <w:tcW w:type="dxa" w:w="4195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未載（見報日 2026/08/10）</w:t>
            </w:r>
          </w:p>
        </w:tc>
      </w:tr>
      <w:tr>
        <w:tc>
          <w:tcPr>
            <w:tcW w:type="dxa" w:w="1587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市場定位</w:t>
            </w:r>
          </w:p>
        </w:tc>
        <w:tc>
          <w:tcPr>
            <w:tcW w:type="dxa" w:w="4195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目前全市場最高目標價</w:t>
            </w:r>
          </w:p>
        </w:tc>
        <w:tc>
          <w:tcPr>
            <w:tcW w:type="dxa" w:w="4195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僅次於澳系外資</w:t>
            </w:r>
          </w:p>
        </w:tc>
      </w:tr>
    </w:tbl>
    <w:p>
      <w:pPr>
        <w:spacing w:after="80" w:before="160"/>
      </w:pPr>
      <w:r>
        <w:rPr>
          <w:rFonts w:ascii="Microsoft JhengHei" w:hAnsi="Microsoft JhengHei" w:eastAsia="Microsoft JhengHei"/>
          <w:b/>
          <w:color w:val="1F3B63"/>
          <w:sz w:val="26"/>
        </w:rPr>
        <w:t>二、論點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20"/>
        </w:rPr>
        <w:t>• 公司自述定位：執行副總經理王俊強稱川湖是「最純的 AI 股，比 IP 股還 IP 股」，滑軌在伺服器機櫃屬安全件，只要是重要且精密度高的產品即能嶄露頭角；每週有 1 至 2 個新 IP 誕生。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20"/>
        </w:rPr>
        <w:t>• Q2 財報為此波調升的直接觸發點：單季合併營收 108.3 億元（季增 98.73%、年增 1.56 倍）；毛利率 87.42%（季增 9.68 個百分點）；營益率 82.08%（季增 15.02 個百分點）；單季 EPS 74.38 元。合併營收、毛利、毛利率、營益、營益率、稅後盈餘六項同創單季新高。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20"/>
        </w:rPr>
        <w:t>• 上半年合併營收 162.8 億元（年增 98.95%）、營業毛利率 84.18%（年增 7.38 個百分點）、稅後盈餘 105.74 億元（年增 2.38 倍）、EPS 110.96 元，同創歷年同期新高。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20"/>
        </w:rPr>
        <w:t>• 澳系外資論點：以較高營收與毛利率預期為基礎，一次上調 2026-2028 年 EPS 55%／66%／76%，並將目標價調升至 16,500 元。原文未說明評價方法（未給本益比或年度）。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20"/>
        </w:rPr>
        <w:t>• 美系外資論點：滑軌技術持續進步，公司能有效率地將設計概念轉化為可量產產品；產品生命週期已從 12-24 個月縮短至 6-12 個月，對供應鏈形成更大挑戰，但使 King Slide 這類產業領導者處於有利地位。預估 Q3 營收 195.55 億元、季增 81%、年增 348%；憑藉全面專利佈局與穩健執行力，可望續為多數相關專案的首選供應商。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20"/>
        </w:rPr>
        <w:t>• 公司展望：CSP 廠砸更多預算在 AI 算力，高市佔者將成最大受益者；就算有旺季與非旺季差異也不會差太多；2027 至 2029 年還有很多創新產品可期待。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20"/>
        </w:rPr>
        <w:t>• 股價：8/10 再度以漲停價開出，創掛牌新高；8/7 已跳空漲停收 11,110 元、成為新科萬金股，盤中 8/10 一度衝達 12,220 元寫歷史新高。</w:t>
      </w:r>
    </w:p>
    <w:p>
      <w:pPr>
        <w:spacing w:after="80" w:before="160"/>
      </w:pPr>
      <w:r>
        <w:rPr>
          <w:rFonts w:ascii="Microsoft JhengHei" w:hAnsi="Microsoft JhengHei" w:eastAsia="Microsoft JhengHei"/>
          <w:b/>
          <w:color w:val="1F3B63"/>
          <w:sz w:val="26"/>
        </w:rPr>
        <w:t>三、風險與資訊落差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20"/>
        </w:rPr>
        <w:t>• 券商完全未具名：媒體僅以「美系外資」「澳系外資」代稱，無法確認實際機構。美系外資 15,000 元（前值 10,000）與本系統 8/8 已收錄的摩根士丹利「優於大盤、10,000 元」前值完全吻合，研判為大摩兩日內再度上調，但評等文字由「優於大盤」變成「建議加碼」，券商歸屬與評等口徑均標「待確認」。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20"/>
        </w:rPr>
        <w:t>• 評價分歧極大：本場次 16,500 元與 15,000 元，加計 8/8 已收錄的大和資本 15,000 元、瑞銀 14,000 元、大摩 10,000 元，全距達 65%（10,000～16,500 元）。五家券商全數未同時揭露 EPS 與本益比，無法判斷差異來自獲利假設或評價倍數。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20"/>
        </w:rPr>
        <w:t>• 報告出具日期全數未載，媒體見報日不等於報告日。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20"/>
        </w:rPr>
        <w:t>• 美系外資完全未揭露 EPS 與本益比，論述偏質化（技術能力、產品週期、專利佈局），缺乏可驗證的量化評價基礎。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20"/>
        </w:rPr>
        <w:t>• 澳系外資 EPS 上調幅度異常大（55%～76%），屬單季財報驅動的一次性大幅修正，後續若 Q3 毛利率無法維持 87% 的異常水準，存在回頭下修風險。Q2 毛利率 87.42% 與營益率 82.08% 為 AI 硬體公司新天花板，能否延續為最大變數。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20"/>
        </w:rPr>
        <w:t>• 股價已連續跳空漲停並創歷史新高，短線追價風險偏高；且個股已遭列處置，流動性受限。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20"/>
        </w:rPr>
        <w:t>• 原文未提供 8/10 收盤價，無法計算目標價的隱含上漲空間。</w:t>
      </w:r>
    </w:p>
    <w:p>
      <w:pPr>
        <w:spacing w:after="80" w:before="160"/>
      </w:pPr>
      <w:r>
        <w:rPr>
          <w:rFonts w:ascii="Microsoft JhengHei" w:hAnsi="Microsoft JhengHei" w:eastAsia="Microsoft JhengHei"/>
          <w:b/>
          <w:color w:val="1F3B63"/>
          <w:sz w:val="26"/>
        </w:rPr>
        <w:t>四、來源連結</w:t>
      </w:r>
    </w:p>
    <w:p>
      <w:pPr>
        <w:spacing w:after="0" w:before="0"/>
      </w:pPr>
      <w:r>
        <w:rPr>
          <w:rFonts w:ascii="Microsoft JhengHei" w:hAnsi="Microsoft JhengHei" w:eastAsia="Microsoft JhengHei"/>
          <w:b w:val="0"/>
          <w:sz w:val="18"/>
        </w:rPr>
        <w:t>1. 《電零組》外資上修目標價至16500元 川湖再度亮燈創新高價（工商時報 2026/08/10）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color w:val="305A9A"/>
          <w:sz w:val="17"/>
        </w:rPr>
        <w:t xml:space="preserve">　　https://www.ctee.com.tw/news/20260810700721-430201</w:t>
      </w:r>
    </w:p>
    <w:p>
      <w:pPr>
        <w:spacing w:after="0" w:before="0"/>
      </w:pPr>
      <w:r>
        <w:rPr>
          <w:rFonts w:ascii="Microsoft JhengHei" w:hAnsi="Microsoft JhengHei" w:eastAsia="Microsoft JhengHei"/>
          <w:b w:val="0"/>
          <w:sz w:val="18"/>
        </w:rPr>
        <w:t>2. 《電零組》川湖財報驚豔！外資調高目標價上看15000元（工商時報 2026/08/07，前次報告背景）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color w:val="305A9A"/>
          <w:sz w:val="17"/>
        </w:rPr>
        <w:t xml:space="preserve">　　https://www.ctee.com.tw/news/20260807700720-430201</w:t>
      </w:r>
    </w:p>
    <w:p>
      <w:pPr>
        <w:spacing w:after="0" w:before="0"/>
      </w:pPr>
      <w:r>
        <w:rPr>
          <w:rFonts w:ascii="Microsoft JhengHei" w:hAnsi="Microsoft JhengHei" w:eastAsia="Microsoft JhengHei"/>
          <w:b w:val="0"/>
          <w:sz w:val="18"/>
        </w:rPr>
        <w:t>3. 最純 AI 股被處置照樣飆漲停 川湖衝達12,220元寫歷史新高（經濟日報 2026/08/10）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color w:val="305A9A"/>
          <w:sz w:val="17"/>
        </w:rPr>
        <w:t xml:space="preserve">　　https://money.udn.com/money/story/5710/9681275</w:t>
      </w:r>
    </w:p>
    <w:p>
      <w:pPr>
        <w:spacing w:after="120" w:before="0"/>
      </w:pPr>
    </w:p>
    <w:p>
      <w:pPr>
        <w:spacing w:after="80" w:before="0"/>
      </w:pPr>
      <w:r>
        <w:rPr>
          <w:rFonts w:ascii="Microsoft JhengHei" w:hAnsi="Microsoft JhengHei" w:eastAsia="Microsoft JhengHei"/>
          <w:b/>
          <w:color w:val="808080"/>
          <w:sz w:val="18"/>
        </w:rPr>
        <w:t>本摘要依公開新聞整理，非完整報告。</w:t>
      </w:r>
    </w:p>
    <w:sectPr w:rsidR="00FC693F" w:rsidRPr="0006063C" w:rsidSect="00034616">
      <w:headerReference w:type="default" r:id="rId9001"/>
      <w:pgSz w:w="12240" w:h="15840"/>
      <w:pgMar w:top="1077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00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