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Microsoft JhengHei" w:hAnsi="Microsoft JhengHei" w:eastAsia="Microsoft JhengHei"/>
          <w:b/>
          <w:sz w:val="32"/>
        </w:rPr>
        <w:t>川湖（2059）　法人（工商時報未具名）　買進　目標價 15,500 元</w:t>
      </w:r>
    </w:p>
    <w:p>
      <w:pPr>
        <w:spacing w:after="160" w:before="0"/>
        <w:jc w:val="center"/>
      </w:pPr>
      <w:r>
        <w:rPr>
          <w:rFonts w:ascii="Microsoft JhengHei" w:hAnsi="Microsoft JhengHei" w:eastAsia="Microsoft JhengHei"/>
          <w:b w:val="0"/>
          <w:sz w:val="19"/>
        </w:rPr>
        <w:t>見報日期：2026/08/16 11:15　｜　收錄場次：2026/08/16 盤後　｜　產業：AI 伺服器零組件－機櫃滑軌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項目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內容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投資評等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買進（維持）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目標價（新）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15,500 元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目標價（舊）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原文未載該券商前值。本系統既有紀錄可對照：高盛 12,000 元（2026/07/12，由 7,664 元上修）、FactSet 外資共識 10,525 元（2026/08/10，由 9,970 元上修，評等買進）。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隱含空間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以 8/14 收盤 12,500 元計算約 +24.0%（本系統回算）。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券商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工商時報僅稱「法人」，未具名，無法判斷為外資或內資，亦未載報告出具日期。</w:t>
            </w:r>
          </w:p>
        </w:tc>
      </w:tr>
    </w:tbl>
    <w:p>
      <w:pPr>
        <w:spacing w:after="120" w:before="0"/>
      </w:pPr>
      <w:r>
        <w:rPr>
          <w:rFonts w:ascii="Microsoft JhengHei" w:hAnsi="Microsoft JhengHei" w:eastAsia="Microsoft JhengHei"/>
          <w:b w:val="0"/>
          <w:sz w:val="21"/>
        </w:rPr>
      </w:r>
    </w:p>
    <w:p>
      <w:pPr>
        <w:spacing w:after="60" w:before="0"/>
      </w:pPr>
      <w:r>
        <w:rPr>
          <w:rFonts w:ascii="Microsoft JhengHei" w:hAnsi="Microsoft JhengHei" w:eastAsia="Microsoft JhengHei"/>
          <w:b/>
          <w:sz w:val="23"/>
        </w:rPr>
        <w:t>一、投資結論</w:t>
      </w:r>
    </w:p>
    <w:p>
      <w:pPr>
        <w:spacing w:after="40" w:before="0"/>
      </w:pPr>
      <w:r>
        <w:rPr>
          <w:rFonts w:ascii="Microsoft JhengHei" w:hAnsi="Microsoft JhengHei" w:eastAsia="Microsoft JhengHei"/>
          <w:b w:val="0"/>
          <w:sz w:val="20"/>
        </w:rPr>
        <w:t>・★ 本場次唯一動到目標價的個案，也是本系統收錄以來川湖單筆最高目標價。15,500 元較本系統既有最高的高盛 12,000 元再高 29.2%，較 FactSet 共識 10,525 元高 47.3%（均為本系統回算）。</w:t>
      </w:r>
    </w:p>
    <w:p>
      <w:pPr>
        <w:spacing w:after="40" w:before="0"/>
      </w:pPr>
      <w:r>
        <w:rPr>
          <w:rFonts w:ascii="Microsoft JhengHei" w:hAnsi="Microsoft JhengHei" w:eastAsia="Microsoft JhengHei"/>
          <w:b w:val="0"/>
          <w:sz w:val="20"/>
        </w:rPr>
        <w:t>・上修並非單純評價擴張，而是伴隨營收與 EPS 預估的同步大幅上調，訊號品質高於純調高本益比的個案。</w:t>
      </w:r>
    </w:p>
    <w:p>
      <w:pPr>
        <w:spacing w:after="40" w:before="0"/>
      </w:pPr>
      <w:r>
        <w:rPr>
          <w:rFonts w:ascii="Microsoft JhengHei" w:hAnsi="Microsoft JhengHei" w:eastAsia="Microsoft JhengHei"/>
          <w:b w:val="0"/>
          <w:sz w:val="20"/>
        </w:rPr>
        <w:t>・法人明言市場焦點將由「川湖能否成為萬元股」轉為「能否挑戰信驊（5274）的股王地位」——川湖 8/14 收 12,500 元創新高，股價已超越穎崴（6515）成為台股股后。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sz w:val="21"/>
        </w:rPr>
      </w:r>
    </w:p>
    <w:p>
      <w:pPr>
        <w:spacing w:after="60" w:before="0"/>
      </w:pPr>
      <w:r>
        <w:rPr>
          <w:rFonts w:ascii="Microsoft JhengHei" w:hAnsi="Microsoft JhengHei" w:eastAsia="Microsoft JhengHei"/>
          <w:b/>
          <w:sz w:val="23"/>
        </w:rPr>
        <w:t>二、近期營運與財務實績</w:t>
      </w:r>
    </w:p>
    <w:p>
      <w:pPr>
        <w:spacing w:after="40" w:before="0"/>
      </w:pPr>
      <w:r>
        <w:rPr>
          <w:rFonts w:ascii="Microsoft JhengHei" w:hAnsi="Microsoft JhengHei" w:eastAsia="Microsoft JhengHei"/>
          <w:b w:val="0"/>
          <w:sz w:val="20"/>
        </w:rPr>
        <w:t>・7 月自結：歸屬母公司淨利 47.87 億元、年增 321.08%，單月 EPS 50.24 元，等於一個月賺進逾 5 個股本，且單月即賺進去年全年獲利近半。</w:t>
      </w:r>
    </w:p>
    <w:p>
      <w:pPr>
        <w:spacing w:after="40" w:before="0"/>
      </w:pPr>
      <w:r>
        <w:rPr>
          <w:rFonts w:ascii="Microsoft JhengHei" w:hAnsi="Microsoft JhengHei" w:eastAsia="Microsoft JhengHei"/>
          <w:b w:val="0"/>
          <w:sz w:val="20"/>
        </w:rPr>
        <w:t>・前 7 月累計：歸屬母公司淨利 153.61 億元，累計 EPS 161.2 元。</w:t>
      </w:r>
    </w:p>
    <w:p>
      <w:pPr>
        <w:spacing w:after="40" w:before="0"/>
      </w:pPr>
      <w:r>
        <w:rPr>
          <w:rFonts w:ascii="Microsoft JhengHei" w:hAnsi="Microsoft JhengHei" w:eastAsia="Microsoft JhengHei"/>
          <w:b w:val="0"/>
          <w:sz w:val="20"/>
        </w:rPr>
        <w:t>・Q2 財報大幅優於原先預期，營收與獲利同步強勁成長，毛利率飆升至 87.4%，創歷史新高。</w:t>
      </w:r>
    </w:p>
    <w:p>
      <w:pPr>
        <w:spacing w:after="40" w:before="0"/>
      </w:pPr>
      <w:r>
        <w:rPr>
          <w:rFonts w:ascii="Microsoft JhengHei" w:hAnsi="Microsoft JhengHei" w:eastAsia="Microsoft JhengHei"/>
          <w:b w:val="0"/>
          <w:sz w:val="20"/>
        </w:rPr>
        <w:t>・目前產能利用率已達 70%～80%。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sz w:val="21"/>
        </w:rPr>
      </w:r>
    </w:p>
    <w:p>
      <w:pPr>
        <w:spacing w:after="60" w:before="0"/>
      </w:pPr>
      <w:r>
        <w:rPr>
          <w:rFonts w:ascii="Microsoft JhengHei" w:hAnsi="Microsoft JhengHei" w:eastAsia="Microsoft JhengHei"/>
          <w:b/>
          <w:sz w:val="23"/>
        </w:rPr>
        <w:t>三、成長動能與盈餘預估調整</w:t>
      </w:r>
    </w:p>
    <w:p>
      <w:pPr>
        <w:spacing w:after="40" w:before="0"/>
      </w:pPr>
      <w:r>
        <w:rPr>
          <w:rFonts w:ascii="Microsoft JhengHei" w:hAnsi="Microsoft JhengHei" w:eastAsia="Microsoft JhengHei"/>
          <w:b w:val="0"/>
          <w:sz w:val="20"/>
        </w:rPr>
        <w:t>・Q3 雙重動能：VR 新平台與 ASIC 伺服器產品放量，加上美國休士頓新廠逐步開出產能。</w:t>
      </w:r>
    </w:p>
    <w:p>
      <w:pPr>
        <w:spacing w:after="40" w:before="0"/>
      </w:pPr>
      <w:r>
        <w:rPr>
          <w:rFonts w:ascii="Microsoft JhengHei" w:hAnsi="Microsoft JhengHei" w:eastAsia="Microsoft JhengHei"/>
          <w:b w:val="0"/>
          <w:sz w:val="20"/>
        </w:rPr>
        <w:t>・★ Q3 營收預估由 69.5 億元大幅上修至 179.6 億元（+158.4%），單季 EPS 由 40.27 元上修至 116.39 元（+189.0%，本系統回算）。</w:t>
      </w:r>
    </w:p>
    <w:p>
      <w:pPr>
        <w:spacing w:after="40" w:before="0"/>
      </w:pPr>
      <w:r>
        <w:rPr>
          <w:rFonts w:ascii="Microsoft JhengHei" w:hAnsi="Microsoft JhengHei" w:eastAsia="Microsoft JhengHei"/>
          <w:b w:val="0"/>
          <w:sz w:val="20"/>
        </w:rPr>
        <w:t>・2026 年：營收預估由 260 億元上修至 525 億元，全年 EPS 由 160.66 元上修至 348.51 元（+116.9%，本系統回算）。</w:t>
      </w:r>
    </w:p>
    <w:p>
      <w:pPr>
        <w:spacing w:after="40" w:before="0"/>
      </w:pPr>
      <w:r>
        <w:rPr>
          <w:rFonts w:ascii="Microsoft JhengHei" w:hAnsi="Microsoft JhengHei" w:eastAsia="Microsoft JhengHei"/>
          <w:b w:val="0"/>
          <w:sz w:val="20"/>
        </w:rPr>
        <w:t>・2027 年：營收預估由 346 億元上修至 824 億元，EPS 由 207 元上修至 534.43 元（+158.2%，本系統回算）。</w:t>
      </w:r>
    </w:p>
    <w:p>
      <w:pPr>
        <w:spacing w:after="40" w:before="0"/>
      </w:pPr>
      <w:r>
        <w:rPr>
          <w:rFonts w:ascii="Microsoft JhengHei" w:hAnsi="Microsoft JhengHei" w:eastAsia="Microsoft JhengHei"/>
          <w:b w:val="0"/>
          <w:sz w:val="20"/>
        </w:rPr>
        <w:t>・單價超預期：供應鏈調查顯示新一代導軌不論應用於 VR、AWS T3 或 AMD 平台，單價均高於先前估計，平台升級同步推升單機價值。</w:t>
      </w:r>
    </w:p>
    <w:p>
      <w:pPr>
        <w:spacing w:after="40" w:before="0"/>
      </w:pPr>
      <w:r>
        <w:rPr>
          <w:rFonts w:ascii="Microsoft JhengHei" w:hAnsi="Microsoft JhengHei" w:eastAsia="Microsoft JhengHei"/>
          <w:b w:val="0"/>
          <w:sz w:val="20"/>
        </w:rPr>
        <w:t>・市場地位：法人預估川湖在 AI 伺服器機櫃滑軌（含 GPU 與 ASIC 伺服器）市占率可望超過八至九成；HGX 平台及客製化機櫃因技術與進入門檻更高，甚至有機會取得近乎獨佔地位。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sz w:val="21"/>
        </w:rPr>
      </w:r>
    </w:p>
    <w:p>
      <w:pPr>
        <w:spacing w:after="60" w:before="0"/>
      </w:pPr>
      <w:r>
        <w:rPr>
          <w:rFonts w:ascii="Microsoft JhengHei" w:hAnsi="Microsoft JhengHei" w:eastAsia="Microsoft JhengHei"/>
          <w:b/>
          <w:sz w:val="23"/>
        </w:rPr>
        <w:t>四、風險與查證事項</w:t>
      </w:r>
    </w:p>
    <w:p>
      <w:pPr>
        <w:spacing w:after="40" w:before="0"/>
      </w:pPr>
      <w:r>
        <w:rPr>
          <w:rFonts w:ascii="Microsoft JhengHei" w:hAnsi="Microsoft JhengHei" w:eastAsia="Microsoft JhengHei"/>
          <w:b w:val="0"/>
          <w:sz w:val="20"/>
        </w:rPr>
        <w:t>・★ 券商未具名，且原文未載該券商目標價前值，無法計算單一機構的調整幅度，也無法比對其歷史預估準確度；未載報告出具日期。</w:t>
      </w:r>
    </w:p>
    <w:p>
      <w:pPr>
        <w:spacing w:after="40" w:before="0"/>
      </w:pPr>
      <w:r>
        <w:rPr>
          <w:rFonts w:ascii="Microsoft JhengHei" w:hAnsi="Microsoft JhengHei" w:eastAsia="Microsoft JhengHei"/>
          <w:b w:val="0"/>
          <w:sz w:val="20"/>
        </w:rPr>
        <w:t>・★ 上修幅度極端：Q3 營收上修 158%、2026 年 EPS 上修 117%、2027 年 EPS 上修 158%，單次調整幅度如此之大，本身即代表原模型與現況落差已久，或新模型的假設高度樂觀，兩者都意味著預估區間的不確定性偏高。</w:t>
      </w:r>
    </w:p>
    <w:p>
      <w:pPr>
        <w:spacing w:after="40" w:before="0"/>
      </w:pPr>
      <w:r>
        <w:rPr>
          <w:rFonts w:ascii="Microsoft JhengHei" w:hAnsi="Microsoft JhengHei" w:eastAsia="Microsoft JhengHei"/>
          <w:b w:val="0"/>
          <w:sz w:val="20"/>
        </w:rPr>
        <w:t>・未揭露評價年度與本益比倍數。以 15,500 元對 2026 年 EPS 348.51 元回算約 44.5 倍，對 2027 年 EPS 534.43 元約 29.0 倍（本系統回算），原文未說明採用何者。</w:t>
      </w:r>
    </w:p>
    <w:p>
      <w:pPr>
        <w:spacing w:after="40" w:before="0"/>
      </w:pPr>
      <w:r>
        <w:rPr>
          <w:rFonts w:ascii="Microsoft JhengHei" w:hAnsi="Microsoft JhengHei" w:eastAsia="Microsoft JhengHei"/>
          <w:b w:val="0"/>
          <w:sz w:val="20"/>
        </w:rPr>
        <w:t>・毛利率 87.4% 屬極端高檔水準，任何價格或產品組合的反轉，獲利下滑速度同樣劇烈；原文未做敏感度或情境分析。</w:t>
      </w:r>
    </w:p>
    <w:p>
      <w:pPr>
        <w:spacing w:after="40" w:before="0"/>
      </w:pPr>
      <w:r>
        <w:rPr>
          <w:rFonts w:ascii="Microsoft JhengHei" w:hAnsi="Microsoft JhengHei" w:eastAsia="Microsoft JhengHei"/>
          <w:b w:val="0"/>
          <w:sz w:val="20"/>
        </w:rPr>
        <w:t>・產能利用率 70%～80% 與 2026 年營收由 260 億元跳增至 525 億元（+102%）之間的產能對應關係，原文未交代；休士頓新廠的爬坡時程與良率風險亦未討論。</w:t>
      </w:r>
    </w:p>
    <w:p>
      <w:pPr>
        <w:spacing w:after="40" w:before="0"/>
      </w:pPr>
      <w:r>
        <w:rPr>
          <w:rFonts w:ascii="Microsoft JhengHei" w:hAnsi="Microsoft JhengHei" w:eastAsia="Microsoft JhengHei"/>
          <w:b w:val="0"/>
          <w:sz w:val="20"/>
        </w:rPr>
        <w:t>・市占率「超過八至九成」與 HGX「近乎獨佔」均為法人預估的定性描述，未提供資料來源或客戶認證進度佐證。</w:t>
      </w:r>
    </w:p>
    <w:p>
      <w:pPr>
        <w:spacing w:after="40" w:before="0"/>
      </w:pPr>
      <w:r>
        <w:rPr>
          <w:rFonts w:ascii="Microsoft JhengHei" w:hAnsi="Microsoft JhengHei" w:eastAsia="Microsoft JhengHei"/>
          <w:b w:val="0"/>
          <w:sz w:val="20"/>
        </w:rPr>
        <w:t>・股價 8/14 已收 12,500 元創新高，本則見報時股價已大幅反映；且川湖因近期漲多，係應主管機關要求才公告自結數，籌碼面須留意。</w:t>
      </w:r>
    </w:p>
    <w:p>
      <w:pPr>
        <w:spacing w:after="40" w:before="0"/>
      </w:pPr>
      <w:r>
        <w:rPr>
          <w:rFonts w:ascii="Microsoft JhengHei" w:hAnsi="Microsoft JhengHei" w:eastAsia="Microsoft JhengHei"/>
          <w:b w:val="0"/>
          <w:sz w:val="20"/>
        </w:rPr>
        <w:t>・★ 建議查證：15,500 元究竟出自哪一家券商，以及是否與 8/10 進表的 FactSet 共識 10,525 元屬同一波上修。建議等 08/17 之後鉅亨網 ratediff 進表確認。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sz w:val="21"/>
        </w:rPr>
      </w:r>
    </w:p>
    <w:p>
      <w:pPr>
        <w:spacing w:after="40" w:before="0"/>
      </w:pPr>
      <w:r>
        <w:rPr>
          <w:rFonts w:ascii="Microsoft JhengHei" w:hAnsi="Microsoft JhengHei" w:eastAsia="Microsoft JhengHei"/>
          <w:b w:val="0"/>
          <w:sz w:val="18"/>
        </w:rPr>
        <w:t>來源：川湖獲利驚豔股價破萬只是起點？法人大幅上修獲利預估 目標價直指股王信驊（工商時報 2026/08/16 11:15）</w:t>
      </w:r>
    </w:p>
    <w:p>
      <w:pPr>
        <w:spacing w:after="120" w:before="0"/>
      </w:pPr>
      <w:r>
        <w:rPr>
          <w:rFonts w:ascii="Microsoft JhengHei" w:hAnsi="Microsoft JhengHei" w:eastAsia="Microsoft JhengHei"/>
          <w:b w:val="0"/>
          <w:sz w:val="18"/>
        </w:rPr>
        <w:t>https://www.ctee.com.tw/news/20260816700331-430201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sz w:val="18"/>
        </w:rPr>
        <w:t>本摘要依公開新聞整理，非完整報告。</w:t>
      </w:r>
    </w:p>
    <w:sectPr w:rsidR="00FC693F" w:rsidRPr="0006063C" w:rsidSect="00034616">
      <w:headerReference w:type="default" r:id="rId9"/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