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川湖 2059　美系外資（★未具名）　建議加碼　目標價 15,000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★未具名。原文用詞「美系外資最新報告」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伺服器機構件／滑軌（Rail Kit）、機箱結構件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建議加碼（維持）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15,000 元（維持）／前值 ★未載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★12,520 元，跌 1,385 元（-9.96%，跌停），成交 1,126 張（來源 HiStock）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15,000 元對 12,520 元回算 +19.8%（本系統回算）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09:27（報告發布於盤中，當日股價卻以跌停作收）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・8 月合併營收 64.66 億元，月增 0.92%、年增 344.42%，再創單月歷史新高；前 8 月累計 291.53 億元、年增 163.96%。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・本季迄今營收已達該外資預估第 3 季營收的 66%，表現符合預期。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・除受惠大型雲端業者 GPU 與 ASIC 伺服器需求外，多元應用專案亦開始貢獻營收。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・結構性論點：伺服器市場擴張、機櫃設計複雜度提高、滑軌套件滲透率上升，三者共同推升單機價值（content value per box）持續增加。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・公司端：執行副總王俊強稱「川湖是最純的 AI 股，比 IP 股還 IP 股」，客戶分散達數百家，2026 下半年至 2027-2029 年可期待。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・★無 EPS 預估、無營收金額預估、無評價倍數——15,000 元如何推導完全未交代。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・★前值目標價與前次評等日期未載，「維持」二字無從驗證。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・★毛利率預估未載。川湖為高毛利機構件廠，毛利率走向是評價核心變數，原文完全未提。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・★★本場次最大反差：報告於 09/08 09:27 發布並維持加碼與 15,000 元目標價，但當日股價以跌停 12,520 元（-9.96%）作收。8 月營收年增 344% 的極強數字未能撐住股價，顯示市場擔憂已不在營收本身（可能為評價過高、機構調節、或滑軌競爭者進入），而本則報告完全未回應。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・★歷史紀錄中另有「川湖 15,500 元」一筆（出處待查），與本次 15,000 元不同，是否為同一機構調降或不同機構，待釐清。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・年增 344% 係自極低基期跳升，2027 年起基期墊高後成長率必然大幅收斂，原文未提示此節奏。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・客戶「分散達幾百家」為公司說法，非券商查證；且伺服器滑軌高度集中於少數 ODM／CSP 專案，說法與產業結構有落差。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09:27　https://www.ctee.com.tw/news/20260908700715-430201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