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帆宣(6196) 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報告2026-07-16出具、07-20見報(旺得富)｜龍頭券商旗下投顧(未具名/內資)｜半導體－廠務工程/設備代工</w:t>
      </w:r>
    </w:p>
    <w:p>
      <w:pPr>
        <w:pBdr>
          <w:bottom w:val="single" w:color="1F3864" w:sz="8"/>
        </w:pBd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龍頭券商旗下投顧(未具名/內資)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650元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目標價(舊)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半導體－廠務工程/設備代工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報告/見報日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報告2026-07-16出具、07-20見報(旺得富)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台積電2026年資本支出上修至600~640億美元(年增46~56%)，建廠需求延續未來2~3年，廠務工程股優先受惠。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帆宣為自動化供應系統要角，兼具前段設備代工(N3/N2)雙引擎，列4檔首選之一。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今年為美國AZ廠P2工程完工入帳高峰，P3、先進封裝廠(AP)接續明年成長。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在手訂單持續創新高，能見度長達2028年。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台積電海外建廠時程若遞延，入帳高峰後成長銜接存在空窗風險。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工程/原物料成本波動影響毛利率。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短線大盤重挫，評價修正風險。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旺得富理財網(2026-07-20 05:01)：https://wantrich.chinatimes.com/news/20260720900001-420101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WM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WM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2026-07-20T00:15:18.465Z</dcterms:created>
  <dcterms:modified xsi:type="dcterms:W3CDTF">2026-07-20T00:15:18.465Z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