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JhengHei" w:hAnsi="Microsoft JhengHei" w:eastAsia="Microsoft JhengHei"/>
          <w:b/>
          <w:color w:val="1F3B63"/>
          <w:sz w:val="32"/>
        </w:rPr>
        <w:t>志聖（2467）券商觀點摘要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color w:val="666666"/>
          <w:sz w:val="17"/>
        </w:rPr>
        <w:t>券商：本土投顧（內資．★未具名）　｜　見報：工商時報 2026/09/07 03:00（06:31 更新）　｜　整理：旺來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41"/>
        <w:gridCol w:w="7597"/>
      </w:tblGrid>
      <w:tr>
        <w:tc>
          <w:tcPr>
            <w:tcW w:type="dxa" w:w="2041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97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本土投顧（內資．★未具名）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597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★原文未載明評等文字（僅稱「目標價上看 755 元」）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755 元／前值 ★未載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09/04 收盤價</w:t>
            </w:r>
          </w:p>
        </w:tc>
        <w:tc>
          <w:tcPr>
            <w:tcW w:type="dxa" w:w="7597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603.00 元（+8.00、+1.34%）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隱含上檔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＋25.2%（本系統回算）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7597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半導體設備／PCB 設備－先進封裝烘烤、曝光、壓合設備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評價基準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★原文未載（無 EPS、無本益比）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二、投資論點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・先進封裝主軸：CoWoS 持續擴產，SoIC 在 2027 年需求更強，2028 年後由 CoPoS（面板級封裝）接棒，形成連續三段的設備需求。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・客戶擴產：日月光、矽品購置新廠，直接擴大志聖可服務市場（SAM）。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・第二成長曲線：AI Server 帶動 HDI 與 HLC（高層數）PCB 擴產，為設備需求新來源。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・ABF 載板重啟資本支出，帶動相關製程設備採購回溫。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・同篇提及辛耘（3583）8 月自結營收 10.68 億元創新高（月增 9.77%、年增 18.06%），但無評等無目標價。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三、風險與原文未揭露之處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・★券商完全未具名，且評等文字未載，僅有一個目標價數字，權威性與可追溯性最低，引用時應明確標註來源侷限。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・★前值與前次評等日期未載，無法判斷 755 元屬上調、下修或維持。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・★無 EPS 預估與評價基準，無法檢驗 755 元的合理性。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・訂單認列時程風險：先進封裝設備自客戶擴產決策到設備入帳通常有 2-4 季遞延，2027-2028 的 SoIC／CoPoS 題材短期不易反映在財報。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・原文未列風險段落。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四、來源連結</w:t>
      </w:r>
    </w:p>
    <w:p>
      <w:pPr>
        <w:spacing w:after="20" w:line="276" w:lineRule="auto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・工商時報 20260907700229：https://www.ctee.com.tw/news/20260907700229-430203</w:t>
      </w:r>
    </w:p>
    <w:p>
      <w:pPr>
        <w:spacing w:after="20" w:line="276" w:lineRule="auto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・行情：鉅亨網個股頁 2467、3583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16"/>
        </w:rPr>
      </w:r>
    </w:p>
    <w:p>
      <w:pPr>
        <w:spacing w:after="40" w:line="276" w:lineRule="auto"/>
      </w:pPr>
      <w:r>
        <w:rPr>
          <w:rFonts w:ascii="Microsoft JhengHei" w:hAnsi="Microsoft JhengHei" w:eastAsia="Microsoft JhengHei"/>
          <w:b/>
          <w:color w:val="993333"/>
          <w:sz w:val="17"/>
        </w:rPr>
        <w:t>本摘要依公開新聞整理，非完整報告。標示★者為原文未載或本系統回算。</w:t>
      </w:r>
    </w:p>
    <w:sectPr w:rsidR="00FC693F" w:rsidRPr="0006063C" w:rsidSect="00034616">
      <w:headerReference r:id="rId9" w:type="default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