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Microsoft JhengHei" w:hAnsi="Microsoft JhengHei" w:eastAsia="Microsoft JhengHei" w:cs="Microsoft JhengHei"/>
          <w:b/>
          <w:i w:val="0"/>
          <w:color w:val="112B4D"/>
          <w:sz w:val="34"/>
        </w:rPr>
        <w:t>愛普*（6531）　本土法人觀點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606A78"/>
          <w:sz w:val="19"/>
        </w:rPr>
        <w:t>2026/08/09 早盤場次　｜　產業：半導體－記憶體 IP／矽電容（S-SiCap）</w:t>
      </w:r>
    </w:p>
    <w:p>
      <w:pPr>
        <w:spacing w:after="120" w:before="0" w:line="276" w:lineRule="auto"/>
        <w:pBdr>
          <w:bottom w:val="single" w:sz="10" w:space="1" w:color="112B4D"/>
        </w:pBdr>
      </w:pP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>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247"/>
        <w:gridCol w:w="1247"/>
        <w:gridCol w:w="1474"/>
        <w:gridCol w:w="3912"/>
      </w:tblGrid>
      <w:tr>
        <w:tc>
          <w:tcPr>
            <w:tcW w:type="dxa" w:w="1928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券商</w:t>
            </w:r>
          </w:p>
        </w:tc>
        <w:tc>
          <w:tcPr>
            <w:tcW w:type="dxa" w:w="1247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評等</w:t>
            </w:r>
          </w:p>
        </w:tc>
        <w:tc>
          <w:tcPr>
            <w:tcW w:type="dxa" w:w="1247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目標價</w:t>
            </w:r>
          </w:p>
        </w:tc>
        <w:tc>
          <w:tcPr>
            <w:tcW w:type="dxa" w:w="1474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前值</w:t>
            </w:r>
          </w:p>
        </w:tc>
        <w:tc>
          <w:tcPr>
            <w:tcW w:type="dxa" w:w="3912"/>
            <w:shd w:val="clear" w:color="auto" w:fill="112B4D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評價基礎／隱含空間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本土法人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買進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1,430</w:t>
            </w:r>
          </w:p>
        </w:tc>
        <w:tc>
          <w:tcPr>
            <w:tcW w:type="dxa" w:w="147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未揭露（上調）</w:t>
            </w:r>
          </w:p>
        </w:tc>
        <w:tc>
          <w:tcPr>
            <w:tcW w:type="dxa" w:w="3912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i w:val="0"/>
                <w:sz w:val="18"/>
              </w:rPr>
              <w:t>2027 EPS 35.75元×40倍</w:t>
            </w:r>
          </w:p>
        </w:tc>
      </w:tr>
    </w:tbl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>論點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Q2 財報創高：營收 23.6 億元、年增 78%，毛利率 49.1%，EPS 4.18 元創單季新高。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產品組合轉換：S-SiCap（矽電容）2027 年營收有望超越 IoTRAM，成為第一大產品線；VHM 規劃 2028 年量產，為次一階段動能。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評價基礎明確：以 2027 年 EPS 35.75 元乘上 40 倍本益比推得目標價 1,430 元。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產業定位呼應 8/7 已收錄之矽電容先進封裝主題，外資圈對此一次族群關注度未退。</w:t>
      </w: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>風險與疑點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【內外資看法差距大】8/7 已收錄之美系外資給「加碼＋首選」、目標價 1,666 元，本土法人 1,430 元明顯保守，落差 14.2%。兩者評價基礎（年度、倍數）未必相同，不宜直接比價。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40 倍本益比原文未揭露歷史區間對照；且係以 2027 年獲利為基期，隱含兩年成長已先行反映。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股本稀釋風險明確：公司規劃發行最多 1,500 萬股 GDR，稀釋上限達 8.43%。此一稀釋是否已計入 2027 年 EPS 35.75 元，原文未說明——若未計入，EPS 與目標價均需下修。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S-SiCap 超越 IoTRAM 的時點在 2027 年、VHM 量產在 2028 年，主要成長論述皆落在明後年，當期獲利尚不足以支撐 40 倍評價。</w:t>
      </w:r>
    </w:p>
    <w:p>
      <w:pPr>
        <w:spacing w:after="60" w:line="276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20"/>
        </w:rPr>
        <w:t>• 券商未具名、未載報告日期；個股掛「*」表示曾列處置或有其他交易注意事項，近期並曾受處置（8/7 已收錄紀錄），流動性與波動風險偏高。</w:t>
      </w:r>
    </w:p>
    <w:p>
      <w:pPr>
        <w:spacing w:after="80" w:before="200" w:line="276" w:lineRule="auto"/>
        <w:pBdr>
          <w:bottom w:val="single" w:sz="6" w:space="2" w:color="BFD3E6"/>
        </w:pBdr>
      </w:pPr>
      <w:r>
        <w:rPr>
          <w:rFonts w:ascii="Microsoft JhengHei" w:hAnsi="Microsoft JhengHei" w:eastAsia="Microsoft JhengHei" w:cs="Microsoft JhengHei"/>
          <w:b/>
          <w:i w:val="0"/>
          <w:color w:val="0F4C81"/>
          <w:sz w:val="25"/>
        </w:rPr>
        <w:t>來源連結</w:t>
      </w:r>
    </w:p>
    <w:p>
      <w:pPr>
        <w:spacing w:after="40" w:line="264" w:lineRule="auto"/>
        <w:ind w:left="312" w:hanging="198"/>
      </w:pPr>
      <w:r>
        <w:rPr>
          <w:rFonts w:ascii="Microsoft JhengHei" w:hAnsi="Microsoft JhengHei" w:eastAsia="Microsoft JhengHei" w:cs="Microsoft JhengHei"/>
          <w:b w:val="0"/>
          <w:i w:val="0"/>
          <w:sz w:val="18"/>
        </w:rPr>
        <w:t xml:space="preserve">• FTNN 2026/08/08 21:45　</w:t>
      </w:r>
      <w:hyperlink r:id="rId9">
        <w:r>
          <w:rPr>
            <w:rFonts w:ascii="Microsoft JhengHei" w:hAnsi="Microsoft JhengHei" w:eastAsia="Microsoft JhengHei"/>
            <w:sz w:val="17"/>
            <w:color w:val="0563C1"/>
            <w:u w:val="single"/>
          </w:rPr>
          <w:t xml:space="preserve">https://www.ftnn.com.tw/news/568294</w:t>
        </w:r>
      </w:hyperlink>
    </w:p>
    <w:p>
      <w:pPr>
        <w:spacing w:after="80" w:before="160" w:line="276" w:lineRule="auto"/>
      </w:pPr>
      <w:r>
        <w:rPr>
          <w:rFonts w:ascii="Microsoft JhengHei" w:hAnsi="Microsoft JhengHei" w:eastAsia="Microsoft JhengHei" w:cs="Microsoft JhengHei"/>
          <w:b w:val="0"/>
          <w:i w:val="0"/>
          <w:color w:val="808080"/>
          <w:sz w:val="17"/>
        </w:rPr>
        <w:t>本摘要依公開新聞整理，非完整報告。</w:t>
      </w:r>
    </w:p>
    <w:sectPr w:rsidR="00FC693F" w:rsidRPr="0006063C" w:rsidSect="00034616">
      <w:headerReference w:type="default" r:id="rId9001"/>
      <w:pgSz w:w="12240" w:h="15840"/>
      <w:pgMar w:top="1077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ftnn.com.tw/news/568294" TargetMode="External"/><Relationship Id="rId900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