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愛普*（6531）｜摩根士丹利 優於大盤 目標價 1,666 元（維持，族群首選）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早盤場次｜2026/09/03 03:00 工商時報 簡威瑟／09/03 00:34 經濟日報 崔馨方｜產業：半導體－利基型記憶體／3D 堆疊／矽電容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摩根士丹利（大摩）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優於大盤（維持）＋族群首選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1,666（維持；08/07「美系外資 1,666 首選」同源，本次結案）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★09/02 收盤價未取得；以 1,666 元計隱含 2027 年 PE 約 47 倍、2028 年約 25.6 倍（本系統回算）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2026/09/03｜SEMICON Taiwan 觀察報告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小摩 07/08 1,350；大摩 08/03 優於大盤 1,555；美系外資 08/07 加碼＋首選 1,666（本次確認為大摩）；本土法人 08/09 買進 1,430；大摩 08/18 舊世代記憶體專題（無評等目標價）；09/02 盤後「美系大行重申正向」（本次結案）。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記憶體價值創造由位元微縮轉向架構層級創新：AI 效能愈來愈受記憶體而非運算能力限制，Longer Context、Agentic AI、KV Cache 擴大使頻寬／容量／延遲更關鍵，每美元與每瓦 Token 產出成為衡量標準。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2.5D 之後 3D 堆疊將成主流：三星 zHBM 與 DRAM-on-Logic 概念顯示記憶體走向與運算晶片垂直整合，混合鍵合、WoW 整合與散熱共同設計重要性提升；大摩看好愛普*為新興 3D WoW 堆疊商機的潛在受惠者。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EPS 預估：2026 年 17.69 元 → 2027 年 35.37 元 → 2028 年 65.19 元，連年倍增；大摩已將愛普*列為記憶體族群投資首選。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★原文未載評等新舊變動與前值（本系統以 08/03 大摩 1,555、08/07 美系外資 1,666 推定為維持）；★未載 09/02 收盤價，隱含空間無法回算。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3D WoW 堆疊商機時程與客戶導入進度尚屬早期，2027–2028 年 EPS 倍增假設依賴新業務兌現；估值以 2027 年獲利計仍近 50 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https://www.ctee.com.tw/news/20260903700263-430201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https://money.udn.com/money/story/5607/9730523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https://www.ctee.com.tw/news/20260903700448-430201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