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技嘉（2376）券商觀點摘要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盤後場次補收錄｜見報 2026/08/17 工商時報／時報記者張佳琪｜產業：電子代工－主機板／顯示卡／AI 伺服器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美系外資（未具名）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買進（重申）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595 元／480 元（上調 23.96%，本系統回算）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2026／2027／2028 年 37.04／43.42／51.05 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獲利預測調整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2026-2028 年獲利預測上修 28% 至 46%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對照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同期另一美系外資 487 元（中立、維持）；日系外資 490 元（買進、由 422 上調）；FactSet 共識 444 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348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+70.98%，為四個數字中最高，較共識 444 元高 34.0%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・★本則為本系統補收錄之 08/17 遺漏稿件，也是技嘉四個數字中最積極的一家，與同窗口的 487 元中立形成極端對比。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・核心觸發：Q2 淨利超出該行預期 50%、超出市場普遍預期 21%，主要受惠營運支出控制得宜與業外收益增加（約 8.8 億元匯兌收益）。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・Q2 毛利率 9.6%（季減 2.4 個百分點、年增 0.2 個百分點）低於預期，主因 AI 伺服器業務占比高於預期；惟 4.0% 的營運支出比率低於預期，顯示 AI 伺服器業務規模擴張帶來槓桿效應。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・展望：管理層預計受強勁 neocloud 需求推動，下半年營收成長將超過上半年，與該行原先預期相符。預估 Q3 營收較 Q2 成長 8%，Q4 因 AI 伺服器出貨提升進一步成長；毛利率有望因產品組合改善與 VGA 進入旺季而復甦。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・公司動作被解讀為信心指標：董事會批准發行最多 5,000 萬股 GDR（因應產能擴充期營運資金需求）；今年資本支出由 23-25 億元上修至 28-30 億元。該行認為此舉重申公司對需求能見度與產能擴張速度的信心，並強調訂單能見度可看到 2027 年。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・★上修幅度極端：獲利預測單次上修 28%-46%、目標價上修 23.96%，如此幅度本身即代表原模型與現況落差已久或新模型假設高度樂觀，兩者都意味預估區間不確定性偏高。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・★獲利超預期的來源結構須留意：Q2 淨利超預期 50% 有相當部分來自約 8.8 億元的匯兌收益（業外），並非本業經常性獲利，可持續性不同；原文未拆解本業與業外對上修的貢獻比重。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・★毛利率「有望復甦」為預期而非實績，且與同窗口日系外資預估 2027／2028 年毛利率降至 8.9%／8.4% 的方向完全相反，兩者不可能同時成立，建議把 Q3 毛利率實績列為單一關鍵追蹤指標。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・未載目標本益比與評價年度，595 元無法回算；未載報告出具日期；券商未具名。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・GDR 發行將稀釋 EPS（日系估約 0.7%），本則原文未討論對其 EPS 預估的影響。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・本則為新聞轉述非報告原文，且為本系統前一場次遺漏之補收錄，時效已落後約一個交易日。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20260817700775｜財報展望亮眼 美系外資上修技嘉獲利預估、目標價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https://www.ctee.com.tw/news/20260817700775-430201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20260818700950｜技嘉跌停外資仍喊多（同一檔對照稿）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https://www.ctee.com.tw/news/20260818700950-430201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